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en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Załącznik nr 3</w:t>
      </w:r>
    </w:p>
    <w:p>
      <w:pPr>
        <w:pStyle w:val="Normal"/>
        <w:spacing w:lineRule="auto" w:line="276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Znak sprawy: </w:t>
      </w:r>
      <w:r>
        <w:rPr>
          <w:rFonts w:cs="Calibri" w:ascii="Calibri" w:hAnsi="Calibri"/>
          <w:b/>
          <w:sz w:val="22"/>
          <w:szCs w:val="22"/>
        </w:rPr>
        <w:t>RIGKiD.271.5.2026.RK</w:t>
        <w:tab/>
      </w:r>
    </w:p>
    <w:p>
      <w:pPr>
        <w:pStyle w:val="Normal"/>
        <w:spacing w:lineRule="auto" w:line="276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Heading1"/>
        <w:spacing w:lineRule="auto" w:line="276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Umowa nr ……….</w:t>
      </w:r>
    </w:p>
    <w:p>
      <w:pPr>
        <w:pStyle w:val="Normal"/>
        <w:spacing w:lineRule="auto" w:line="276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zawarta w dniu ……………………… r., pomiędzy:</w:t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……………………………………………</w:t>
      </w:r>
      <w:r>
        <w:rPr>
          <w:rFonts w:cs="Calibri" w:ascii="Calibri" w:hAnsi="Calibri"/>
          <w:sz w:val="22"/>
          <w:szCs w:val="22"/>
        </w:rPr>
        <w:t xml:space="preserve">. z siedzibą w …………………., NIP: …………………., reprezentowaną przez: </w:t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…………………………………………………………………………………………</w:t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zwaną dalej „Zamawiającym”,</w:t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a</w:t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…………………………………</w:t>
      </w:r>
      <w:r>
        <w:rPr>
          <w:rFonts w:cs="Calibri" w:ascii="Calibri" w:hAnsi="Calibri"/>
          <w:sz w:val="22"/>
          <w:szCs w:val="22"/>
        </w:rPr>
        <w:t>..  z siedzibą w……………………………………., NIP: …………………………, reprezentowaną przez: …………………………………………………………………………………………</w:t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zwaną dalej „Wykonawcą”,</w:t>
      </w:r>
    </w:p>
    <w:p>
      <w:pPr>
        <w:pStyle w:val="Normal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razem zwane „Stronami”.</w:t>
      </w:r>
    </w:p>
    <w:p>
      <w:pPr>
        <w:pStyle w:val="Normal"/>
        <w:spacing w:lineRule="auto" w:line="276"/>
        <w:rPr>
          <w:rFonts w:ascii="Calibri" w:hAnsi="Calibri" w:eastAsia="" w:cs="Calibri" w:eastAsiaTheme="majorEastAsia"/>
          <w:spacing w:val="-10"/>
          <w:sz w:val="22"/>
          <w:szCs w:val="22"/>
        </w:rPr>
      </w:pPr>
      <w:r>
        <w:rPr>
          <w:rFonts w:eastAsia="" w:cs="Calibri" w:eastAsiaTheme="majorEastAsia" w:ascii="Calibri" w:hAnsi="Calibri"/>
          <w:spacing w:val="-10"/>
          <w:sz w:val="22"/>
          <w:szCs w:val="22"/>
        </w:rPr>
      </w:r>
    </w:p>
    <w:p>
      <w:pPr>
        <w:pStyle w:val="Heading1"/>
        <w:spacing w:lineRule="auto" w:line="27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§ 1</w:t>
        <w:br/>
        <w:t>Podstawa prawna zawarcia Umowy</w:t>
      </w:r>
    </w:p>
    <w:p>
      <w:pPr>
        <w:pStyle w:val="ListParagraph"/>
        <w:numPr>
          <w:ilvl w:val="0"/>
          <w:numId w:val="7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Podstawą zawarcia niniejszej umowy jest wybór najkorzystniejszej oferty w przeprowadzonym postępowaniu o udzielenie zamówienia publicznego pn. Zakup i dostawę </w:t>
      </w:r>
      <w:r>
        <w:rPr>
          <w:rFonts w:eastAsia="Calibri" w:cs="Calibri" w:ascii="Calibri" w:hAnsi="Calibri"/>
          <w:kern w:val="0"/>
          <w:sz w:val="22"/>
          <w:szCs w:val="22"/>
        </w:rPr>
        <w:t>serwera baz danych</w:t>
      </w:r>
      <w:r>
        <w:rPr>
          <w:rFonts w:cs="Calibri" w:ascii="Calibri" w:hAnsi="Calibri"/>
          <w:sz w:val="22"/>
          <w:szCs w:val="22"/>
        </w:rPr>
        <w:t xml:space="preserve"> związana z realizacją projektu w ramach grantu „Cyberbezpieczny Samorząd” (znak sprawy: RIGKiD.27</w:t>
      </w:r>
      <w:r>
        <w:rPr>
          <w:rFonts w:cs="Calibri" w:ascii="Calibri" w:hAnsi="Calibri"/>
          <w:color w:val="auto"/>
          <w:sz w:val="22"/>
          <w:szCs w:val="22"/>
        </w:rPr>
        <w:t>1.5.2026.RK).</w:t>
      </w:r>
    </w:p>
    <w:p>
      <w:pPr>
        <w:pStyle w:val="ListParagraph"/>
        <w:numPr>
          <w:ilvl w:val="0"/>
          <w:numId w:val="7"/>
        </w:numPr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Postępowanie, o którym mowa w ust. 1 prowadzono w trybie zapytania ofertowego zgodnie z przepisami Kodeksu cywilnego (tekst jedn.: Dz. U. z 2025 r. poz. 1071 ze zm.), art. 44 ustawy z dnia 27 sierpnia 2009 r. o finansach publicznych (tekst jedn.: Dz. U. z 2025 r. poz. 1483 ze. zm.) oraz zgodnie z regułą konkurencyjności opisaną w dokumencie pn. Wytyczne dotyczące kwalifikowalności wydatków na lata 2021-2027.</w:t>
      </w:r>
    </w:p>
    <w:p>
      <w:pPr>
        <w:pStyle w:val="ListParagraph"/>
        <w:numPr>
          <w:ilvl w:val="0"/>
          <w:numId w:val="7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Umowa obejmuje realizację zamówienia publicznego, o którym mowa w ust. 1 w zakresie zakupu i dostawy </w:t>
      </w:r>
      <w:r>
        <w:rPr>
          <w:rFonts w:eastAsia="Calibri" w:cs="Calibri" w:ascii="Calibri" w:hAnsi="Calibri"/>
          <w:kern w:val="0"/>
          <w:sz w:val="22"/>
          <w:szCs w:val="22"/>
        </w:rPr>
        <w:t>serwera baz danych</w:t>
      </w:r>
      <w:r>
        <w:rPr>
          <w:rFonts w:cs="Calibri" w:ascii="Calibri" w:hAnsi="Calibri"/>
          <w:sz w:val="22"/>
          <w:szCs w:val="22"/>
        </w:rPr>
        <w:t>.</w:t>
      </w:r>
    </w:p>
    <w:p>
      <w:pPr>
        <w:pStyle w:val="Heading1"/>
        <w:spacing w:lineRule="auto" w:line="27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§ 2</w:t>
      </w:r>
    </w:p>
    <w:p>
      <w:pPr>
        <w:pStyle w:val="Heading1"/>
        <w:spacing w:lineRule="auto" w:line="27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Przedmiot Umowy</w:t>
      </w:r>
    </w:p>
    <w:p>
      <w:pPr>
        <w:pStyle w:val="ListParagraph"/>
        <w:numPr>
          <w:ilvl w:val="0"/>
          <w:numId w:val="1"/>
        </w:numPr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Przedmiotem Umowy jest Zakup i dostawa </w:t>
      </w:r>
      <w:r>
        <w:rPr>
          <w:rFonts w:eastAsia="Calibri" w:cs="Calibri" w:ascii="Calibri" w:hAnsi="Calibri"/>
          <w:kern w:val="0"/>
          <w:sz w:val="22"/>
          <w:szCs w:val="22"/>
        </w:rPr>
        <w:t>serwera baz danych</w:t>
      </w:r>
      <w:r>
        <w:rPr>
          <w:rFonts w:cs="Calibri" w:ascii="Calibri" w:hAnsi="Calibri"/>
          <w:sz w:val="22"/>
          <w:szCs w:val="22"/>
        </w:rPr>
        <w:t xml:space="preserve"> (1 szt.) zgodnie ze Szczegółowym Opisem Przedmiotu Zamówienia stanowiącym Załącznik nr 1 do Umowy (dalej: SOPZ) oraz ze złożoną przez Wykonawcę ofertą stanowiącą Załącznik nr 2 do Umowy. </w:t>
      </w:r>
    </w:p>
    <w:p>
      <w:pPr>
        <w:pStyle w:val="ListParagraph"/>
        <w:spacing w:lineRule="auto" w:line="276"/>
        <w:ind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Dostawa powyższego sprzętu informatycznego obejmuje jego dostawę.</w:t>
      </w:r>
    </w:p>
    <w:p>
      <w:pPr>
        <w:pStyle w:val="ListParagraph"/>
        <w:numPr>
          <w:ilvl w:val="0"/>
          <w:numId w:val="1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Dostarczany </w:t>
      </w:r>
      <w:r>
        <w:rPr>
          <w:rFonts w:eastAsia="Calibri" w:cs="Calibri" w:ascii="Calibri" w:hAnsi="Calibri"/>
          <w:kern w:val="0"/>
          <w:sz w:val="22"/>
          <w:szCs w:val="22"/>
        </w:rPr>
        <w:t>serwer</w:t>
      </w:r>
      <w:r>
        <w:rPr>
          <w:rFonts w:cs="Calibri" w:ascii="Calibri" w:hAnsi="Calibri"/>
          <w:sz w:val="22"/>
          <w:szCs w:val="22"/>
        </w:rPr>
        <w:t xml:space="preserve"> musi być fabrycznie nowy, nieużywany, nieuszkodzony i nieobciążony prawami osób trzecich oraz muszą pochodzić z oficjalnego kanału dystrybucyjnego w UE.</w:t>
      </w:r>
    </w:p>
    <w:p>
      <w:pPr>
        <w:pStyle w:val="ListParagraph"/>
        <w:numPr>
          <w:ilvl w:val="0"/>
          <w:numId w:val="1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 celu uniknięcia wątpliwości Strony potwierdzają, że z zastrzeżeniem zmian dopuszczalnych przez przepisy prawa i Umowę – przedmiot umowy zostanie zrealizowany zgodnie z treścią SOPZ oraz Ofertą Wykonawcy z uwzględnieniem wszelkich zmian oraz wyjaśnień udzielonych w odpowiedzi na pytania Wykonawców, które miały miejsce w toku postępowania poprzedzającego zawarcie Umowy.</w:t>
      </w:r>
    </w:p>
    <w:p>
      <w:pPr>
        <w:pStyle w:val="ListParagraph"/>
        <w:numPr>
          <w:ilvl w:val="0"/>
          <w:numId w:val="1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Dostawa jest współfinansowana ze środków Europejskiego Funduszu Rozwoju Regionalnego (EFRR) w ramach Funduszy Europejskich na Rozwój Cyfrowy 2021-2027, Priorytet II Zaawansowane usługi cyfrowe, Działanie 2.2. Wzmocnienie krajowego systemu cyberbezpieczeństwa.</w:t>
      </w:r>
    </w:p>
    <w:p>
      <w:pPr>
        <w:pStyle w:val="Heading1"/>
        <w:spacing w:lineRule="auto" w:line="27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 xml:space="preserve">§ 3 </w:t>
      </w:r>
    </w:p>
    <w:p>
      <w:pPr>
        <w:pStyle w:val="Heading1"/>
        <w:spacing w:lineRule="auto" w:line="27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Termin wykonania</w:t>
      </w:r>
    </w:p>
    <w:p>
      <w:pPr>
        <w:pStyle w:val="Normal"/>
        <w:numPr>
          <w:ilvl w:val="0"/>
          <w:numId w:val="8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Strony ustalają termin realizacji Umowy, tj. wykonanie przedmiotu całości umowy w terminie d</w:t>
      </w:r>
      <w:r>
        <w:rPr>
          <w:rFonts w:cs="Calibri" w:ascii="Calibri" w:hAnsi="Calibri"/>
          <w:color w:val="auto"/>
          <w:sz w:val="22"/>
          <w:szCs w:val="22"/>
        </w:rPr>
        <w:t>o 01 czerwca 2026 r.</w:t>
      </w:r>
    </w:p>
    <w:p>
      <w:pPr>
        <w:pStyle w:val="Normal"/>
        <w:numPr>
          <w:ilvl w:val="0"/>
          <w:numId w:val="8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 uzasadnionych przypadkach termin określony w ust. 1 może ulec zmianie tylko za zgodą Zamawiającego. Zmiana terminu wymaga aneksu do Umowy w formie pisemnej pod rygorem nieważności.</w:t>
      </w:r>
    </w:p>
    <w:p>
      <w:pPr>
        <w:pStyle w:val="Normal"/>
        <w:numPr>
          <w:ilvl w:val="0"/>
          <w:numId w:val="8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Jeżeli w toku realizacji Umowy, mimo zachowania przez Wykonawcę należytej staranności, Wykonawca stwierdzi zaistnienie okoliczności dających podstawę do oceny, że przedmiot umowy nie zostanie wykonany w terminie określonym w ust. 1, niezwłocznie zawiadomi na piśmie Zamawiającego o przyczynach wystąpienia opóźnienia oraz przedstawi przewidywany termin dostawy.</w:t>
      </w:r>
    </w:p>
    <w:p>
      <w:pPr>
        <w:pStyle w:val="Normal"/>
        <w:numPr>
          <w:ilvl w:val="0"/>
          <w:numId w:val="8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Potwierdzeniem realizacji zamówienia w terminie, o którym mowa w ust. 1 jest protokół odbioru podpisany przez obie Strony.</w:t>
      </w:r>
    </w:p>
    <w:p>
      <w:pPr>
        <w:pStyle w:val="Heading1"/>
        <w:spacing w:lineRule="auto" w:line="27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 xml:space="preserve">§ 4 </w:t>
      </w:r>
    </w:p>
    <w:p>
      <w:pPr>
        <w:pStyle w:val="Heading1"/>
        <w:spacing w:lineRule="auto" w:line="27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Obowiązki Stron</w:t>
      </w:r>
    </w:p>
    <w:p>
      <w:pPr>
        <w:pStyle w:val="ListParagraph"/>
        <w:numPr>
          <w:ilvl w:val="0"/>
          <w:numId w:val="3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Zamawiający jest zobowiązany do współdziałania z Wykonawcą w granicach określonych prawem oraz Umową.</w:t>
      </w:r>
    </w:p>
    <w:p>
      <w:pPr>
        <w:pStyle w:val="ListParagraph"/>
        <w:numPr>
          <w:ilvl w:val="0"/>
          <w:numId w:val="3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 zobowiązany jest wykonać przedmiot umowy z zachowaniem należytej staranności, przy wykorzystaniu całej posiadanej wiedzy i doświadczenia oraz zgodnie z obowiązującymi przepisami prawa w tym zakresie.</w:t>
      </w:r>
    </w:p>
    <w:p>
      <w:pPr>
        <w:pStyle w:val="ListParagraph"/>
        <w:numPr>
          <w:ilvl w:val="0"/>
          <w:numId w:val="3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Prace towarzyszące dostawom muszą być przeprowadzone przez osoby posiadające kompetencje i doświadczenie w zakresie odpowiadającym specyfice danego przedmiotu dostawy. </w:t>
      </w:r>
    </w:p>
    <w:p>
      <w:pPr>
        <w:pStyle w:val="Heading1"/>
        <w:spacing w:lineRule="auto" w:line="27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 xml:space="preserve">§ 5 </w:t>
      </w:r>
    </w:p>
    <w:p>
      <w:pPr>
        <w:pStyle w:val="Heading1"/>
        <w:spacing w:lineRule="auto" w:line="27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Sposób realizacji przedmiotu Umowy</w:t>
      </w:r>
    </w:p>
    <w:p>
      <w:pPr>
        <w:pStyle w:val="ListParagraph"/>
        <w:numPr>
          <w:ilvl w:val="0"/>
          <w:numId w:val="2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Strony deklarują współpracę w celu realizacji Umowy. W szczególności Strony zobowiązane są do wzajemnego powiadamiania o ważnych okolicznościach mających lub mogących mieć wpływ na wykonanie Umowy, w tym na ewentualne opóźnienia.</w:t>
      </w:r>
    </w:p>
    <w:p>
      <w:pPr>
        <w:pStyle w:val="ListParagraph"/>
        <w:numPr>
          <w:ilvl w:val="0"/>
          <w:numId w:val="2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Językiem Umowy i językiem stosowanym podczas jej realizacji jest język polski. Dotyczy to także całej komunikacji między Stronami.</w:t>
      </w:r>
    </w:p>
    <w:p>
      <w:pPr>
        <w:pStyle w:val="ListParagraph"/>
        <w:numPr>
          <w:ilvl w:val="0"/>
          <w:numId w:val="2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 jest uprawniony do powierzenia wykonania części przedmiotu Umowy podwykonawcom, przy czym Wykonawca ponosi odpowiedzialność za działanie podwykonawców jak za własne działania.</w:t>
      </w:r>
    </w:p>
    <w:p>
      <w:pPr>
        <w:pStyle w:val="ListParagraph"/>
        <w:numPr>
          <w:ilvl w:val="0"/>
          <w:numId w:val="2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 zapewni takie opakowanie sprzętu jakie jest wymagane, żeby nie dopuścić do jego uszkodzenia lub pogorszenia jego jakości w trakcie transportu do miejsca dostawy.</w:t>
      </w:r>
    </w:p>
    <w:p>
      <w:pPr>
        <w:pStyle w:val="ListParagraph"/>
        <w:numPr>
          <w:ilvl w:val="0"/>
          <w:numId w:val="2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Sprzęt będzie oznaczony zgodnie z obowiązującymi przepisami, a w szczególności znakami bezpieczeństwa.</w:t>
      </w:r>
    </w:p>
    <w:p>
      <w:pPr>
        <w:pStyle w:val="ListParagraph"/>
        <w:numPr>
          <w:ilvl w:val="0"/>
          <w:numId w:val="2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Przedmiot umowy zostanie dostarczony przez Wykonawcę do siedziby Zamawiającego.</w:t>
      </w:r>
    </w:p>
    <w:p>
      <w:pPr>
        <w:pStyle w:val="ListParagraph"/>
        <w:numPr>
          <w:ilvl w:val="0"/>
          <w:numId w:val="2"/>
        </w:numPr>
        <w:spacing w:lineRule="auto" w:line="276"/>
        <w:ind w:hanging="284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 wyda Zamawiającemu instrukcje obsługi sprzętu oraz karty katalogowe i gwarancyjne.</w:t>
      </w:r>
    </w:p>
    <w:p>
      <w:pPr>
        <w:pStyle w:val="ListParagraph"/>
        <w:numPr>
          <w:ilvl w:val="0"/>
          <w:numId w:val="2"/>
        </w:numPr>
        <w:spacing w:lineRule="auto" w:line="276"/>
        <w:ind w:hanging="426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 zgłosi Zamawiającemu gotowość do odbioru z wyprzedzeniem co najmniej 2 dni roboczych.</w:t>
      </w:r>
    </w:p>
    <w:p>
      <w:pPr>
        <w:pStyle w:val="ListParagraph"/>
        <w:numPr>
          <w:ilvl w:val="0"/>
          <w:numId w:val="2"/>
        </w:numPr>
        <w:spacing w:lineRule="auto" w:line="276"/>
        <w:ind w:hanging="426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Odbiór przedmiotu umowy odbędzie się w siedzibie Zamawiającego w obecności przedstawicieli obydwu Stron i polegać będzie na sprawdzeniu jego zgodności z wymaganiami SOPZ, kompletności i stanu.</w:t>
      </w:r>
    </w:p>
    <w:p>
      <w:pPr>
        <w:pStyle w:val="ListParagraph"/>
        <w:numPr>
          <w:ilvl w:val="0"/>
          <w:numId w:val="2"/>
        </w:numPr>
        <w:spacing w:lineRule="auto" w:line="276"/>
        <w:ind w:hanging="426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Odbiór przedmiotu umowy zostanie potwierdzony protokołem odbioru, podpisanym przez przedstawicieli Zamawiającego i Wykonawcy. </w:t>
      </w:r>
    </w:p>
    <w:p>
      <w:pPr>
        <w:pStyle w:val="ListParagraph"/>
        <w:numPr>
          <w:ilvl w:val="0"/>
          <w:numId w:val="2"/>
        </w:numPr>
        <w:spacing w:lineRule="auto" w:line="276"/>
        <w:ind w:hanging="426" w:start="28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Protokół odbioru sporządzony zostanie w formie pisemnej, pod rygorem nieważności, w dwóch egzemplarzach, po jednym dla każdej ze Stron. O ile z Umowy lub przepisów prawa nie wynika inaczej, jedynie podpisany przez obie Strony protokół odbioru jest podstawą do dokonania zapłaty wynagrodzenia. Zamawiający nie dopuszcza jednostronnych protokołów odbioru wystawionych przez Wykonawcę.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Korzyści i ciężary związane ze sprzętem oraz niebezpieczeństwo przypadkowej utraty lub uszkodzenia sprzętu przechodzą na Zamawiającego z chwilą wydania sprzętu Zamawiającemu i po podpisaniu protokołu, o którym mowa w ust. 11. Za dzień wydania sprzętu Zamawiającemu uważa się dzień, w którym sprzęt został odebrany przez Zamawiającego. </w:t>
      </w:r>
    </w:p>
    <w:p>
      <w:pPr>
        <w:pStyle w:val="ListParagraph"/>
        <w:spacing w:lineRule="auto" w:line="276"/>
        <w:ind w:start="36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ListParagraph"/>
        <w:spacing w:lineRule="auto" w:line="276" w:before="0" w:after="0"/>
        <w:ind w:start="360"/>
        <w:contextualSpacing/>
        <w:jc w:val="center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§ 6</w:t>
      </w:r>
    </w:p>
    <w:p>
      <w:pPr>
        <w:pStyle w:val="Heading1"/>
        <w:spacing w:lineRule="auto" w:line="276"/>
        <w:rPr>
          <w:rFonts w:ascii="Calibri" w:hAnsi="Calibri"/>
        </w:rPr>
      </w:pPr>
      <w:r>
        <w:rPr>
          <w:rFonts w:cs="Calibri" w:ascii="Calibri" w:hAnsi="Calibri"/>
          <w:color w:val="auto"/>
          <w:sz w:val="22"/>
          <w:szCs w:val="22"/>
        </w:rPr>
        <w:t>Wynagrodzenie</w:t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Wynagrodzenie za wykonanie przedmiotu umowy wynosi ……….. zł brutto (słownie: …………………) w tym wartość podatku od towarów i usług: …………….…… zł według stawki …... % oraz wartość netto: ……………..……… zł, zgodnie z ofertą Wykonawcy.</w:t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Za datę wykonania przedmiotu umowy w całości uważa się datę podpisania przez Zamawiającego protokołu odbioru końcowego bez zastrzeżeń, chyba że inna data została wskazana w protokole odbioru. Protokół odbioru sporządzony zostanie w formie pisemnej, pod rygorem nieważności, w dwóch egzemplarzach, po jednym dla każdej ze Stron.</w:t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Podstawą wystawienia faktury jest protokół odbioru końcowego, potwierdzający wykonanie całości przedmiotu umowy, podpisany bez zastrzeżeń przez obie Strony. Zamawiający nie przewiduje udzielania zaliczek na poczet wykonania zamówienia.</w:t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 xml:space="preserve">Wynagrodzenie będzie płatne przelewem na rachunek bankowy Wykonawcy wskazany na fakturze w terminie do 14 dni od daty otrzymania prawidłowo wystawionej faktury VAT. W przypadku, gdy do naliczenia i zapłacenia podatku od towarów i usług zobowiązany jest Zamawiający faktura musi zawierać adnotację „mechanizm podzielonej płatności”. </w:t>
      </w:r>
    </w:p>
    <w:p>
      <w:pPr>
        <w:pStyle w:val="Normal"/>
        <w:spacing w:lineRule="auto" w:line="276" w:before="0" w:after="0"/>
        <w:ind w:start="284" w:end="16"/>
        <w:contextualSpacing w:val="false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  <w:r>
        <w:br w:type="page"/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Dane do faktury: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b/>
          <w:bCs/>
          <w:sz w:val="22"/>
          <w:szCs w:val="22"/>
        </w:rPr>
        <w:t>Nabywca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Gmina Olszewo-Borki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ul. Wł. Broniewskiego 13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07-415 Olszewo-Borki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NIP 758-21-23-565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b/>
          <w:bCs/>
          <w:sz w:val="22"/>
          <w:szCs w:val="22"/>
        </w:rPr>
        <w:t>Odbiorca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Urząd Gminy w Olszewie-Borkach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ul. Wł. Broniewskiego 13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07-415 Olszewo-Borki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NIP: 758 -17-23-263</w:t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Za datę zapłaty Strony ustalają dzień obciążenia rachunku Zamawiającego.</w:t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 zastrzeżeniem ust. 10 Umowy, za opóźnienie w zapłacie wynagrodzenia Zamawiający zapłaci odsetki ustawowe.</w:t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Zamawiający zastrzega sobie prawo rozliczania płatności wynikającej z Umowy z zastosowaniem mechanizmu podzielnej płatności, przewidzianego w przepisach ustawy o podatku od towarów i usług.</w:t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Wykonawca oświadcza, że rachunek bankowy wskazany w umowie:</w:t>
      </w:r>
    </w:p>
    <w:p>
      <w:pPr>
        <w:pStyle w:val="ListParagraph"/>
        <w:numPr>
          <w:ilvl w:val="0"/>
          <w:numId w:val="10"/>
        </w:numPr>
        <w:spacing w:lineRule="auto" w:line="276" w:before="0" w:after="0"/>
        <w:ind w:hanging="283" w:start="567" w:end="16"/>
        <w:contextualSpacing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jest rachunkiem umożliwiającym płatność z zastosowaniem mechanizmu podzielnej płatności, o którym mowa powyżej</w:t>
      </w:r>
    </w:p>
    <w:p>
      <w:pPr>
        <w:pStyle w:val="ListParagraph"/>
        <w:numPr>
          <w:ilvl w:val="0"/>
          <w:numId w:val="10"/>
        </w:numPr>
        <w:spacing w:lineRule="auto" w:line="276" w:before="0" w:after="0"/>
        <w:ind w:hanging="283" w:start="567" w:end="16"/>
        <w:contextualSpacing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znajduje się w wykazie podmiotów prowadzonym przez Szefa Krajowej Administracji Skarbowej, o którym mowa w art. 96b ustawy o podatku od towarów i usług (tzw. biała lista podatników).</w:t>
      </w:r>
    </w:p>
    <w:p>
      <w:pPr>
        <w:pStyle w:val="Normal"/>
        <w:numPr>
          <w:ilvl w:val="0"/>
          <w:numId w:val="9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W przypadku, gdy rachunek bankowy Wykonawcy nie spełnia choćby jednego z warunków określonych w ust. 8, przekroczenie określonego Umową terminu na dokonanie płatności, powstałe wskutek braku możliwości:</w:t>
      </w:r>
    </w:p>
    <w:p>
      <w:pPr>
        <w:pStyle w:val="ListParagraph"/>
        <w:numPr>
          <w:ilvl w:val="0"/>
          <w:numId w:val="11"/>
        </w:numPr>
        <w:spacing w:lineRule="auto" w:line="276" w:before="0" w:after="0"/>
        <w:ind w:hanging="283" w:start="567" w:end="435"/>
        <w:contextualSpacing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realizacji przez Zamawiającego płatności wynagrodzenia z zastosowaniem mechanizmu podzielnej płatności i/lub</w:t>
      </w:r>
    </w:p>
    <w:p>
      <w:pPr>
        <w:pStyle w:val="ListParagraph"/>
        <w:numPr>
          <w:ilvl w:val="0"/>
          <w:numId w:val="11"/>
        </w:numPr>
        <w:spacing w:lineRule="auto" w:line="276" w:before="0" w:after="0"/>
        <w:ind w:hanging="283" w:start="567" w:end="435"/>
        <w:contextualSpacing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dokonania płatności na rachunek objęty wykazem podmiotów prowadzonym przez Szefa Krajowej Administracji Skarbowej, nie stanowi dla Wykonawcy podstawy do żądania od Zamawiającego jakichkolwiek odsetek/odszkodowań lub innych roszczeń z tytułu dokonania nieterminowej płatności.</w:t>
      </w:r>
    </w:p>
    <w:p>
      <w:pPr>
        <w:pStyle w:val="Heading1"/>
        <w:spacing w:lineRule="auto" w:line="276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b/>
          <w:bCs/>
          <w:color w:val="auto"/>
          <w:sz w:val="22"/>
          <w:szCs w:val="22"/>
        </w:rPr>
        <w:t xml:space="preserve">§ 7 </w:t>
      </w:r>
    </w:p>
    <w:p>
      <w:pPr>
        <w:pStyle w:val="Heading1"/>
        <w:spacing w:lineRule="auto" w:line="276"/>
        <w:rPr>
          <w:rFonts w:ascii="Calibri" w:hAnsi="Calibri"/>
          <w:b/>
          <w:bCs/>
          <w:sz w:val="22"/>
          <w:szCs w:val="22"/>
        </w:rPr>
      </w:pPr>
      <w:r>
        <w:rPr>
          <w:rFonts w:cs="Times New Roman" w:ascii="Calibri" w:hAnsi="Calibri"/>
          <w:b/>
          <w:bCs/>
          <w:color w:val="auto"/>
          <w:sz w:val="22"/>
          <w:szCs w:val="22"/>
        </w:rPr>
        <w:t>Gwarancja i rękojmia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284" w:start="284" w:end="16"/>
        <w:contextualSpacing w:val="false"/>
        <w:jc w:val="both"/>
        <w:rPr/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Wykonawca udziela gwarancji na przedmiot umowy na zasadach opisanych w Szczegółowym Opisie Przedmiotu Zamówienia stanowiącym Załącznik nr 1 do niniejszej Umowy.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Okres gwarancji biegnie od dnia następnego po dniu podpisania protokołu odbioru końcowego przez Zamawiającego.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Gwarancja udzielona przez Wykonawcę nie wyłącza uprawnień Zamawiającego z tytułu gwarancji udzielonych przez producentów sprzętu. Warunki gwarancji Wykonawcy mają pierwszeństwo przed warunkami gwarancji udzielonych przez producentów sprzętu w zakresie, w jakim warunki gwarancji przyznają Zamawiającemu silniejszą ochronę.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Gwarancja udzielana jest w ramach wynagrodzenia.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W okresie gwarancji Wykonawca zapewnia serwis techniczny i nie może odmówić wymiany niesprawnej części na nową w przypadku, gdy jej naprawa nie gwarantuje prawidłowej pracy sprzętu, zgodnie z warunkami gwarancyjnymi.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Niezależnie od udzielonej gwarancji, Wykonawca ponosi wobec Zamawiającego odpowiedzialność za wady fizyczne i prawne przedmiotu umowy z tytułu rękojmi w terminie i na zasadach określonych w ustawie Kodeks cywilny.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Wykonawca ponosi wobec Zamawiającego odpowiedzialność za wady przedmiotu umowy z tytułu gwarancji jakości w terminie i na zasadach określonych w niniejszej Umowie, a w sprawach nieuregulowanych niniejszą umową przyjmuje się jako wiążące przepisy ustawy Kodeks cywilny.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Przez wadę należy rozumieć wadę fizyczną i prawną. Wada fizyczna rozumiana, jako jawne lub ukryte właściwości tkwiące w stanowiących przedmiot umowy dostawach lub w jakimkolwiek ich elemencie, powodujące niemożność używania lub korzystania z przedmiotu umowy zgodnie z przeznaczeniem, a także obniżenie jakości, uszkodzenia lub usterki w przedmiocie umowy. Wada prawna rozumiana, jako sytuacja w której przedmiot umowy lub jakikolwiek element przedmiotu umowy nie stanowi własności Wykonawcy albo jeżeli jest obciążony prawem osoby trzeciej, a także inne wady prawne.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Zgłoszenie awarii lub wady następuje telefonicznie/faxem na numer telefonu/faxu ……….…………….. lub na adres email: ………………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426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Jeśli dla danego elementu zamówienia nie postanowiono inaczej w SOPZ, Wykonawca potwierdzi zgłoszenie w ciągu 2 dni roboczych, a usunie awarię lub wadę w ciągu 14 dni kalendarzowych licząc od dnia zgłoszenia.</w:t>
      </w:r>
    </w:p>
    <w:p>
      <w:pPr>
        <w:pStyle w:val="Normal"/>
        <w:numPr>
          <w:ilvl w:val="0"/>
          <w:numId w:val="12"/>
        </w:numPr>
        <w:spacing w:lineRule="auto" w:line="276" w:before="0" w:after="0"/>
        <w:ind w:hanging="426" w:start="284" w:end="16"/>
        <w:contextualSpacing w:val="false"/>
        <w:jc w:val="both"/>
        <w:rPr>
          <w:rFonts w:ascii="Calibri" w:hAnsi="Calibri"/>
          <w:b w:val="false"/>
          <w:bCs w:val="false"/>
          <w:sz w:val="22"/>
          <w:szCs w:val="22"/>
        </w:rPr>
      </w:pPr>
      <w:r>
        <w:rPr>
          <w:rFonts w:cs="Times New Roman" w:ascii="Calibri" w:hAnsi="Calibri"/>
          <w:b w:val="false"/>
          <w:bCs w:val="false"/>
          <w:sz w:val="22"/>
          <w:szCs w:val="22"/>
        </w:rPr>
        <w:t>Strony ustalają, że Zamawiającemu przysługuje rękojmia za wady na przedmiot umowy w okresie 2 lat od dnia odbioru końcowego przedmiotu umowy potwierdzonego protokołem odbioru końcowego, z zastrzeżeniem, że w przypadku gdy okres udzielonej gwarancji jest dłuższy niż 2 lata, to okres rękojmi jest równy okresowi udzielonej gwarancji.</w:t>
      </w:r>
    </w:p>
    <w:p>
      <w:pPr>
        <w:pStyle w:val="ListParagraph"/>
        <w:spacing w:lineRule="auto" w:line="276" w:before="0" w:after="0"/>
        <w:ind w:hanging="283" w:start="567" w:end="435"/>
        <w:contextualSpacing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1"/>
        <w:spacing w:lineRule="auto" w:line="276"/>
        <w:rPr>
          <w:rFonts w:ascii="Calibri" w:hAnsi="Calibri"/>
        </w:rPr>
      </w:pPr>
      <w:r>
        <w:rPr>
          <w:rFonts w:cs="Calibri" w:ascii="Calibri" w:hAnsi="Calibri"/>
          <w:color w:val="auto"/>
          <w:sz w:val="22"/>
          <w:szCs w:val="22"/>
        </w:rPr>
        <w:t>§ 8</w:t>
      </w:r>
    </w:p>
    <w:p>
      <w:pPr>
        <w:pStyle w:val="Heading1"/>
        <w:spacing w:lineRule="auto" w:line="276"/>
        <w:rPr>
          <w:rFonts w:ascii="Calibri" w:hAnsi="Calibri"/>
        </w:rPr>
      </w:pPr>
      <w:r>
        <w:rPr>
          <w:rFonts w:cs="Calibri" w:ascii="Calibri" w:hAnsi="Calibri"/>
          <w:color w:val="auto"/>
          <w:sz w:val="22"/>
          <w:szCs w:val="22"/>
        </w:rPr>
        <w:t>Kary umowne</w:t>
      </w:r>
    </w:p>
    <w:p>
      <w:pPr>
        <w:pStyle w:val="ListParagraph"/>
        <w:numPr>
          <w:ilvl w:val="0"/>
          <w:numId w:val="4"/>
        </w:numPr>
        <w:spacing w:lineRule="auto" w:line="276"/>
        <w:ind w:hanging="284" w:start="284"/>
        <w:jc w:val="both"/>
        <w:rPr>
          <w:color w:val="auto"/>
        </w:rPr>
      </w:pPr>
      <w:r>
        <w:rPr>
          <w:rFonts w:cs="Calibri" w:ascii="Calibri" w:hAnsi="Calibri"/>
          <w:color w:val="auto"/>
          <w:sz w:val="22"/>
          <w:szCs w:val="22"/>
        </w:rPr>
        <w:t>W przypadku niewykonania lub nienależytego wykonania Umowy przez Wykonawcę Zamawiający może naliczyć karę umowną w następujących przypadkach i wysokościach:</w:t>
      </w:r>
    </w:p>
    <w:p>
      <w:pPr>
        <w:pStyle w:val="ListParagraph"/>
        <w:numPr>
          <w:ilvl w:val="1"/>
          <w:numId w:val="4"/>
        </w:numPr>
        <w:spacing w:lineRule="auto" w:line="276"/>
        <w:ind w:hanging="283" w:start="567"/>
        <w:jc w:val="both"/>
        <w:rPr>
          <w:color w:val="auto"/>
        </w:rPr>
      </w:pPr>
      <w:r>
        <w:rPr>
          <w:rFonts w:cs="Calibri" w:ascii="Calibri" w:hAnsi="Calibri"/>
          <w:color w:val="auto"/>
          <w:sz w:val="22"/>
          <w:szCs w:val="22"/>
        </w:rPr>
        <w:t>za zwłokę w przekazaniu przedmiotu Umowy w wysokości 0,1% wynagrodzenia, o którym mowa w § 6 ust. 1 Umowy za każdy dzień zwłoki,</w:t>
      </w:r>
    </w:p>
    <w:p>
      <w:pPr>
        <w:pStyle w:val="ListParagraph"/>
        <w:numPr>
          <w:ilvl w:val="1"/>
          <w:numId w:val="4"/>
        </w:numPr>
        <w:spacing w:lineRule="auto" w:line="276"/>
        <w:ind w:hanging="283" w:start="567"/>
        <w:jc w:val="both"/>
        <w:rPr>
          <w:color w:val="auto"/>
        </w:rPr>
      </w:pPr>
      <w:r>
        <w:rPr>
          <w:rFonts w:cs="Calibri" w:ascii="Calibri" w:hAnsi="Calibri"/>
          <w:color w:val="auto"/>
          <w:sz w:val="22"/>
          <w:szCs w:val="22"/>
        </w:rPr>
        <w:t xml:space="preserve">za zwłokę w usunięciu awarii lub wad przedmiotu umowy w wysokości 0,1% wynagrodzenia, o którym mowa w § 6 ust. 1 Umowy za każdy dzień zwłoki w stosunku do terminów, o których </w:t>
      </w:r>
      <w:r>
        <w:rPr>
          <w:rFonts w:cs="Calibri" w:ascii="Calibri" w:hAnsi="Calibri"/>
          <w:color w:val="auto"/>
          <w:sz w:val="22"/>
          <w:szCs w:val="22"/>
          <w:shd w:fill="auto" w:val="clear"/>
        </w:rPr>
        <w:t xml:space="preserve">mowa w § 7 ust. 10 Umowy, </w:t>
      </w:r>
    </w:p>
    <w:p>
      <w:pPr>
        <w:pStyle w:val="ListParagraph"/>
        <w:numPr>
          <w:ilvl w:val="1"/>
          <w:numId w:val="4"/>
        </w:numPr>
        <w:spacing w:lineRule="auto" w:line="276"/>
        <w:ind w:hanging="283" w:start="567"/>
        <w:jc w:val="both"/>
        <w:rPr>
          <w:color w:val="auto"/>
        </w:rPr>
      </w:pPr>
      <w:r>
        <w:rPr>
          <w:rFonts w:cs="Calibri" w:ascii="Calibri" w:hAnsi="Calibri"/>
          <w:color w:val="auto"/>
          <w:sz w:val="22"/>
          <w:szCs w:val="22"/>
        </w:rPr>
        <w:t>za odstąpienie od Umowy przez Zamawiającego z przyczyn leżących po stronie Wykonawcy w wysokości 20% wynagrodzenia, o którym mowa w § 6 ust. 1.</w:t>
      </w:r>
    </w:p>
    <w:p>
      <w:pPr>
        <w:pStyle w:val="ListParagraph"/>
        <w:numPr>
          <w:ilvl w:val="0"/>
          <w:numId w:val="4"/>
        </w:numPr>
        <w:spacing w:lineRule="auto" w:line="276"/>
        <w:ind w:hanging="284" w:start="284"/>
        <w:jc w:val="both"/>
        <w:rPr>
          <w:color w:val="auto"/>
          <w:highlight w:val="none"/>
          <w:shd w:fill="auto" w:val="clear"/>
        </w:rPr>
      </w:pPr>
      <w:r>
        <w:rPr>
          <w:rFonts w:cs="Calibri" w:ascii="Calibri" w:hAnsi="Calibri"/>
          <w:color w:val="auto"/>
          <w:sz w:val="22"/>
          <w:szCs w:val="22"/>
          <w:shd w:fill="auto" w:val="clear"/>
        </w:rPr>
        <w:t>Wykonawca może naliczyć karę umowną za odstąpienie od Umowy przez Wykonawcę z przyczyn leżących po stronie Zamawiającego w wysokości 20% wynagrodzenia, o którym mowa w § 6 ust. 1  Umowy z wyłączeniem przypadku, o jakim mowa w § 10 ust. 1 Umowy.</w:t>
      </w:r>
    </w:p>
    <w:p>
      <w:pPr>
        <w:pStyle w:val="ListParagraph"/>
        <w:numPr>
          <w:ilvl w:val="0"/>
          <w:numId w:val="4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>
      <w:pPr>
        <w:pStyle w:val="ListParagraph"/>
        <w:numPr>
          <w:ilvl w:val="0"/>
          <w:numId w:val="4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Kary umowne liczone są od wynagrodzenia brutto należnego Wykonawcy.</w:t>
      </w:r>
    </w:p>
    <w:p>
      <w:pPr>
        <w:pStyle w:val="ListParagraph"/>
        <w:numPr>
          <w:ilvl w:val="0"/>
          <w:numId w:val="4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Kwoty kar umownych będą płatne w terminie wskazanym w żądaniu Zamawiającego. Powyższe nie wyłącza możliwości potrącenia naliczonych kar z wynagrodzenia należnego Wykonawcy, jak również zaspokojenia roszczeń z zabezpieczenia należytego wykonania Umowy.</w:t>
      </w:r>
    </w:p>
    <w:p>
      <w:pPr>
        <w:pStyle w:val="ListParagraph"/>
        <w:numPr>
          <w:ilvl w:val="0"/>
          <w:numId w:val="4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Łączna wysokość kar umownych, których mogą dochodzić strony, nie może przekroczyć 30% wartości wynagrodzenia, o którym mowa w § 6 ust. 1 Umowy.</w:t>
      </w:r>
    </w:p>
    <w:p>
      <w:pPr>
        <w:pStyle w:val="ListParagraph"/>
        <w:numPr>
          <w:ilvl w:val="0"/>
          <w:numId w:val="4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 xml:space="preserve">Zastrzeżone kary umowne nie wyłączają możliwości dochodzenia na zasadach ogólnych odszkodowania przewyższającą karę umowną. </w:t>
      </w:r>
    </w:p>
    <w:p>
      <w:pPr>
        <w:pStyle w:val="Heading1"/>
        <w:spacing w:lineRule="auto" w:line="276"/>
        <w:rPr>
          <w:rFonts w:ascii="Calibri" w:hAnsi="Calibri"/>
        </w:rPr>
      </w:pPr>
      <w:r>
        <w:rPr>
          <w:rFonts w:cs="Calibri" w:ascii="Calibri" w:hAnsi="Calibri"/>
          <w:color w:val="auto"/>
          <w:sz w:val="22"/>
          <w:szCs w:val="22"/>
        </w:rPr>
        <w:t>§ 9</w:t>
      </w:r>
    </w:p>
    <w:p>
      <w:pPr>
        <w:pStyle w:val="Heading1"/>
        <w:spacing w:lineRule="auto" w:line="276"/>
        <w:rPr>
          <w:rFonts w:ascii="Calibri" w:hAnsi="Calibri"/>
        </w:rPr>
      </w:pPr>
      <w:r>
        <w:rPr>
          <w:rFonts w:cs="Calibri" w:ascii="Calibri" w:hAnsi="Calibri"/>
          <w:color w:val="auto"/>
          <w:sz w:val="22"/>
          <w:szCs w:val="22"/>
        </w:rPr>
        <w:t>Zmiany Umowy</w:t>
      </w:r>
    </w:p>
    <w:p>
      <w:pPr>
        <w:pStyle w:val="ListParagraph"/>
        <w:numPr>
          <w:ilvl w:val="0"/>
          <w:numId w:val="5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 xml:space="preserve">Zamawiający przewiduje możliwość wprowadzenia do Umowy zmian w przypadku zaistnienia okoliczności (technicznych, gospodarczych i tym podobnych), których nie można było przewidzieć w chwili zawarcia Umowy (z zastrzeżeniem, że zmiany te nie mogą powodować zmiany wysokości wynagrodzenia, ani obniżenia parametrów technicznych i jakościowych zaoferowanego przedmiotu zamówienia) na przykład: </w:t>
      </w:r>
    </w:p>
    <w:p>
      <w:pPr>
        <w:pStyle w:val="ListParagraph"/>
        <w:numPr>
          <w:ilvl w:val="1"/>
          <w:numId w:val="5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konieczność dostarczenia innego, niż określonego w Umowie urządzenia, niepowodująca zwiększenia ceny, spowodowana zakończeniem produkcji określonego w Umowie urządzenia/oprogramowania lub wycofania go z produkcji lub obrotu na terytorium Rzeczpospolitej Polskiej, posiadającego parametry nie gorsze od zaproponowanych przez Wykonawcę w ofercie;</w:t>
      </w:r>
    </w:p>
    <w:p>
      <w:pPr>
        <w:pStyle w:val="ListParagraph"/>
        <w:numPr>
          <w:ilvl w:val="1"/>
          <w:numId w:val="5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pojawienie się na rynku urządzenia producenta sprzętu nowszej generacji lub nowej wersji oprogramowania, o lepszych parametrach i/lub pozwalających na zaoszczędzenie kosztów eksploatacji pod warunkiem, że te zmiany nie spowodują zwiększenia ceny;</w:t>
      </w:r>
    </w:p>
    <w:p>
      <w:pPr>
        <w:pStyle w:val="ListParagraph"/>
        <w:numPr>
          <w:ilvl w:val="1"/>
          <w:numId w:val="5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w przypadku ujawnienia się powszechnie występujących wad oferowanego urządzenia Zamawiający dopuszcza zmianę w zakresie przedmiotu Umowy polegającą na zastąpieniu danego produktu produktem zastępczym, spełniającym wszelkie wymagania przewidziane w SOPZ dla produktu zastępowanego, rekomendowanym przez producenta lub Wykonawcę w związku z ujawnieniem wad;</w:t>
      </w:r>
    </w:p>
    <w:p>
      <w:pPr>
        <w:pStyle w:val="ListParagraph"/>
        <w:numPr>
          <w:ilvl w:val="1"/>
          <w:numId w:val="5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zmiana oferowanych przez Wykonawcę urządzeń lub oprogramowania w sytuacji, gdy producent lub jego przedstawiciel na terytorium Rzeczpospolitej Polskiej (osoba trzecia) nie będzie mógł dostarczyć oferowanych przez Wykonawcę urządzenia w terminie wyznaczonym w Umowie.</w:t>
      </w:r>
    </w:p>
    <w:p>
      <w:pPr>
        <w:pStyle w:val="ListParagraph"/>
        <w:numPr>
          <w:ilvl w:val="0"/>
          <w:numId w:val="5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Zamawiający przewiduje możliwość wprowadzenia do Umowy zmian:</w:t>
      </w:r>
    </w:p>
    <w:p>
      <w:pPr>
        <w:pStyle w:val="ListParagraph"/>
        <w:numPr>
          <w:ilvl w:val="1"/>
          <w:numId w:val="5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w przypadku przerwy w wykonywaniu Umowy spowodowanej działaniem siły wyższej jako zdarzenia zewnętrznego, niemożliwego do przewidzenia i niemożliwego do zapobieżenia,</w:t>
      </w:r>
    </w:p>
    <w:p>
      <w:pPr>
        <w:pStyle w:val="ListParagraph"/>
        <w:numPr>
          <w:ilvl w:val="1"/>
          <w:numId w:val="5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w zakresie zmiany formy zabezpieczenia Umowy,</w:t>
      </w:r>
    </w:p>
    <w:p>
      <w:pPr>
        <w:pStyle w:val="ListParagraph"/>
        <w:numPr>
          <w:ilvl w:val="1"/>
          <w:numId w:val="5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zmiana (obniżenie) wysokości wynagrodzenia, przy czym w przypadku zmniejszenia zakresu przedmiotu umowy, łączna wartość zmiany nie może przekroczyć 10% wartości pierwotnej wynagrodzenia Wykonawcy określonego w §6 ust. 1 Umowy.</w:t>
      </w:r>
    </w:p>
    <w:p>
      <w:pPr>
        <w:pStyle w:val="ListParagraph"/>
        <w:numPr>
          <w:ilvl w:val="0"/>
          <w:numId w:val="5"/>
        </w:numPr>
        <w:spacing w:lineRule="auto" w:line="276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Zamawiający przewiduje także wprowadzenie odpowiedniej zmiany terminu realizacji, w szczególności:</w:t>
      </w:r>
    </w:p>
    <w:p>
      <w:pPr>
        <w:pStyle w:val="ListParagraph"/>
        <w:numPr>
          <w:ilvl w:val="1"/>
          <w:numId w:val="5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o ile zmiana taka jest konieczna w celu prawidłowego wykonania Umowy, w szczególności ze względu na zaistnienie okoliczności, o których mowa w ust. 1 i ust. 2 pkt pkt 1),</w:t>
      </w:r>
    </w:p>
    <w:p>
      <w:pPr>
        <w:pStyle w:val="ListParagraph"/>
        <w:numPr>
          <w:ilvl w:val="1"/>
          <w:numId w:val="5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ze względu na okoliczności niezależne od Wykonawcy, np. opóźnienie w dostawie z zagranicy, kontrola celna, opóźnienie lub zatrzymanie transportu wynikające, np. z powodów warunków atmosferycznych.</w:t>
      </w:r>
    </w:p>
    <w:p>
      <w:pPr>
        <w:pStyle w:val="ListParagraph"/>
        <w:numPr>
          <w:ilvl w:val="0"/>
          <w:numId w:val="5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Inicjatorem zmian może być Zamawiający lub Wykonawca poprzez pisemne wystąpienie w okresie obowiązywania Umowy zawierające opis proponowanych zmian, ich uzasadnienie oraz termin wprowadzenia.</w:t>
      </w:r>
    </w:p>
    <w:p>
      <w:pPr>
        <w:pStyle w:val="ListParagraph"/>
        <w:numPr>
          <w:ilvl w:val="0"/>
          <w:numId w:val="5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Po rozpatrzeniu wniosku o zmianę Zamawiający decyduje o udzieleniu zgody na wprowadzenie zmiany do Umowy w formie pisemnej pod rygorem nieważności w ciągu 3 dni roboczych. Zamawiający zastrzega sobie prawo niewydania zgody na zmianę Umowy.</w:t>
      </w:r>
    </w:p>
    <w:p>
      <w:pPr>
        <w:pStyle w:val="ListParagraph"/>
        <w:numPr>
          <w:ilvl w:val="0"/>
          <w:numId w:val="5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 miała zastosowanie wyłącznie w odniesieniu do części wynagrodzenia objętego fakturami wystawionymi po dacie wejścia w życie zmiany przepisów prawa wprowadzających nowe stawki podatku od towarów i usług.</w:t>
      </w:r>
    </w:p>
    <w:p>
      <w:pPr>
        <w:pStyle w:val="ListParagraph"/>
        <w:numPr>
          <w:ilvl w:val="0"/>
          <w:numId w:val="5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Nie stanowi zmiany Umowy zmiana danych rejestrowych lub adresowych oraz ich danych kontaktowych.</w:t>
      </w:r>
    </w:p>
    <w:p>
      <w:pPr>
        <w:pStyle w:val="Heading1"/>
        <w:spacing w:lineRule="auto" w:line="276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color w:val="auto"/>
          <w:sz w:val="22"/>
          <w:szCs w:val="22"/>
        </w:rPr>
        <w:t>§ 10</w:t>
      </w:r>
    </w:p>
    <w:p>
      <w:pPr>
        <w:pStyle w:val="Heading1"/>
        <w:spacing w:lineRule="auto" w:line="276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color w:val="auto"/>
          <w:sz w:val="22"/>
          <w:szCs w:val="22"/>
        </w:rPr>
        <w:t>Odstąpienie od Umowy</w:t>
      </w:r>
    </w:p>
    <w:p>
      <w:pPr>
        <w:pStyle w:val="ListParagraph"/>
        <w:numPr>
          <w:ilvl w:val="0"/>
          <w:numId w:val="13"/>
        </w:numPr>
        <w:spacing w:lineRule="auto" w:line="276" w:before="0" w:after="0"/>
        <w:ind w:hanging="284" w:start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Zamawiającemu przysługuje prawo odstąpienia od Umowy w terminie 21 dni od dnia powzięcia wiadomości w razie zaistnienia istotnej zmiany okoliczności powodującej, że wykonanie Umowy nie leży w interesie publicznym, czego nie można było przewidzieć w chwili zawarcia Umowy.</w:t>
      </w:r>
    </w:p>
    <w:p>
      <w:pPr>
        <w:pStyle w:val="ListParagraph"/>
        <w:numPr>
          <w:ilvl w:val="0"/>
          <w:numId w:val="13"/>
        </w:numPr>
        <w:spacing w:lineRule="auto" w:line="276" w:before="0" w:after="0"/>
        <w:ind w:hanging="284" w:start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Zamawiający może odstąpić od Umowy ze skutkiem natychmiastowym również, gdy:</w:t>
      </w:r>
    </w:p>
    <w:p>
      <w:pPr>
        <w:pStyle w:val="ListParagraph"/>
        <w:widowControl/>
        <w:numPr>
          <w:ilvl w:val="0"/>
          <w:numId w:val="14"/>
        </w:numPr>
        <w:suppressAutoHyphens w:val="true"/>
        <w:bidi w:val="0"/>
        <w:spacing w:lineRule="auto" w:line="276" w:before="0" w:after="0"/>
        <w:ind w:hanging="57" w:start="340" w:end="0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 xml:space="preserve">Wykonawca nie rozpoczął prac bez uzasadnionych przyczyn pomimo wezwania Zamawiającego złożonego na piśmie w terminie 7 dni od daty otrzymania pisma. Zamawiającemu przysługuje prawo odstąpienia w terminie 21 dni </w:t>
      </w:r>
      <w:bookmarkStart w:id="0" w:name="_Hlk34640604"/>
      <w:r>
        <w:rPr>
          <w:rFonts w:cs="Times New Roman" w:ascii="Calibri" w:hAnsi="Calibri"/>
          <w:sz w:val="22"/>
          <w:szCs w:val="22"/>
        </w:rPr>
        <w:t>od ostatniego dnia terminu wyznaczonego przez Zamawiającego</w:t>
      </w:r>
      <w:bookmarkEnd w:id="0"/>
      <w:r>
        <w:rPr>
          <w:rFonts w:cs="Times New Roman" w:ascii="Calibri" w:hAnsi="Calibri"/>
          <w:sz w:val="22"/>
          <w:szCs w:val="22"/>
        </w:rPr>
        <w:t xml:space="preserve">, nastąpiła niedopuszczalna zmiana składu Wykonawców, który wspólnie ubiegali się o udzielenie zamówienia i wspólnie je uzyskali, w terminie 21 dni od dnia powzięcia informacji o przyczynie odstąpienia, stwierdzi w toku odbioru przedmiotu umowy, że przedmiot umowy jest niezgodny z SOPZ i pomimo wyznaczenia przez Zamawiającego dodatkowego </w:t>
      </w:r>
      <w:bookmarkStart w:id="1" w:name="_Hlk136886027"/>
      <w:r>
        <w:rPr>
          <w:rFonts w:cs="Times New Roman" w:ascii="Calibri" w:hAnsi="Calibri"/>
          <w:sz w:val="22"/>
          <w:szCs w:val="22"/>
        </w:rPr>
        <w:t xml:space="preserve">7 dniowego </w:t>
      </w:r>
      <w:bookmarkEnd w:id="1"/>
      <w:r>
        <w:rPr>
          <w:rFonts w:cs="Times New Roman" w:ascii="Calibri" w:hAnsi="Calibri"/>
          <w:sz w:val="22"/>
          <w:szCs w:val="22"/>
        </w:rPr>
        <w:t xml:space="preserve">terminu na dostarczenie przedmiotu umowy zgodnego z treścią SOPZ, Wykonawca nie dostarczy przedmiotu umowy zgodnego z SOPZ, w terminie 21 dni od dnia następnego po upływie dodatkowego 7 dniowego terminu, o którym mowa w niniejszym punkcie, </w:t>
      </w:r>
      <w:bookmarkStart w:id="2" w:name="_Hlk53332624"/>
      <w:r>
        <w:rPr>
          <w:rFonts w:cs="Times New Roman" w:ascii="Calibri" w:hAnsi="Calibri"/>
          <w:sz w:val="22"/>
          <w:szCs w:val="22"/>
        </w:rPr>
        <w:t>zwłoka w realizacji przedmiotu umowy przekracza 14 dni – odstąpienie może nastąpić w terminie 30 dni od dnia powzięcia w zależności o przyczynie odstąpienia.</w:t>
      </w:r>
      <w:bookmarkEnd w:id="2"/>
    </w:p>
    <w:p>
      <w:pPr>
        <w:pStyle w:val="ListParagraph"/>
        <w:numPr>
          <w:ilvl w:val="0"/>
          <w:numId w:val="13"/>
        </w:numPr>
        <w:spacing w:lineRule="auto" w:line="276" w:before="0" w:after="0"/>
        <w:ind w:hanging="284" w:start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 xml:space="preserve">Jeżeli Zamawiający nie współdziała z Wykonawcą w zakresie przewidzianym postanowieniami Umowy, a współdziałanie to jest konieczne do wykonania Umowy, Wykonawca jest uprawniony do odstąpienia od Umowy po uprzednim wezwaniu Zamawiającego do zapewnienia koniecznego współdziałania i wyznaczeniu mu w tym celu odpowiedniego terminu, nie krótszego niż 14 dni, z zagrożeniem odstąpienia od Umowy w razie jego bezskutecznego upływu. W wezwaniu Wykonawca zobowiązany jest wskazać dokładnie brak wymaganego współdziałania i jego wpływ na realizację Umowy. Wezwanie będzie wystosowane w formie pisemnej pod rygorem bezskuteczności wezwania. </w:t>
      </w:r>
    </w:p>
    <w:p>
      <w:pPr>
        <w:pStyle w:val="ListParagraph"/>
        <w:numPr>
          <w:ilvl w:val="0"/>
          <w:numId w:val="13"/>
        </w:numPr>
        <w:spacing w:lineRule="auto" w:line="276" w:before="0" w:after="0"/>
        <w:ind w:hanging="284" w:start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Odstąpienie od Umowy dokonane przez którąkolwiek ze Stron powinno nastąpić w formie pisemnej pod rygorem nieważności oraz zawierać uzasadnienie.</w:t>
      </w:r>
    </w:p>
    <w:p>
      <w:pPr>
        <w:pStyle w:val="ListParagraph"/>
        <w:numPr>
          <w:ilvl w:val="0"/>
          <w:numId w:val="13"/>
        </w:numPr>
        <w:spacing w:lineRule="auto" w:line="276" w:before="0" w:after="0"/>
        <w:ind w:hanging="284" w:start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W przypadku odstąpienia od Umowy Strony obciążają następujące obowiązki szczegółowe:</w:t>
      </w:r>
    </w:p>
    <w:p>
      <w:pPr>
        <w:pStyle w:val="ListParagraph"/>
        <w:numPr>
          <w:ilvl w:val="0"/>
          <w:numId w:val="15"/>
        </w:numPr>
        <w:spacing w:lineRule="auto" w:line="276" w:before="0" w:after="0"/>
        <w:ind w:hanging="283" w:start="567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w terminie 7 dni od daty odstąpienia od Umowy Wykonawca przy udziale Zamawiającego sporządzi protokół inwentaryzacji wszystkich prac wg stanu na dzień odstąpienia od Umowy,</w:t>
      </w:r>
    </w:p>
    <w:p>
      <w:pPr>
        <w:pStyle w:val="ListParagraph"/>
        <w:numPr>
          <w:ilvl w:val="0"/>
          <w:numId w:val="15"/>
        </w:numPr>
        <w:spacing w:lineRule="auto" w:line="276" w:before="0" w:after="0"/>
        <w:ind w:hanging="283" w:start="567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Wykonawca zabezpieczy przerwane prace w zakresie obustronnie uzgodnionym na koszt tej Strony, z której winy doszło do odstąpienia od Umowy,</w:t>
      </w:r>
    </w:p>
    <w:p>
      <w:pPr>
        <w:pStyle w:val="ListParagraph"/>
        <w:numPr>
          <w:ilvl w:val="0"/>
          <w:numId w:val="15"/>
        </w:numPr>
        <w:spacing w:lineRule="auto" w:line="276" w:before="0" w:after="0"/>
        <w:ind w:hanging="283" w:start="567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Wykonawca zgłosi do odbioru przez Zamawiającego zakres prac przerwanych, jeżeli odstąpienie od Umowy nastąpiło z przyczyn, za które Wykonawca nie odpowiada,</w:t>
      </w:r>
    </w:p>
    <w:p>
      <w:pPr>
        <w:pStyle w:val="ListParagraph"/>
        <w:numPr>
          <w:ilvl w:val="0"/>
          <w:numId w:val="15"/>
        </w:numPr>
        <w:spacing w:lineRule="auto" w:line="276" w:before="0" w:after="0"/>
        <w:ind w:hanging="283" w:start="567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Zamawiający w razie odstąpienia od Umowy z przyczyn, za które odpowiada Zamawiający, zobowiązany jest do dokonania odbioru prac przerwanych oraz do zapłaty wynagrodzenia za prace, które zostały prawidłowo wykonane do dnia odstąpienia.</w:t>
      </w:r>
    </w:p>
    <w:p>
      <w:pPr>
        <w:pStyle w:val="ListParagraph"/>
        <w:numPr>
          <w:ilvl w:val="0"/>
          <w:numId w:val="13"/>
        </w:numPr>
        <w:spacing w:lineRule="auto" w:line="276" w:before="0" w:after="0"/>
        <w:ind w:hanging="284" w:start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  <w:t>Strony zgodnie postanawiają, że odstąpienie od Umowy przez którąkolwiek ze Stron nie ma wpływu na obowiązek zapłaty zastrzeżonych kar umownych.</w:t>
      </w:r>
      <w:bookmarkStart w:id="3" w:name="_Hlk161043860"/>
    </w:p>
    <w:p>
      <w:pPr>
        <w:pStyle w:val="Heading1"/>
        <w:spacing w:lineRule="auto" w:line="276"/>
        <w:rPr>
          <w:rFonts w:ascii="Calibri" w:hAnsi="Calibri"/>
        </w:rPr>
      </w:pPr>
      <w:r>
        <w:rPr>
          <w:rFonts w:cs="Calibri" w:ascii="Calibri" w:hAnsi="Calibri"/>
          <w:color w:val="auto"/>
          <w:sz w:val="22"/>
          <w:szCs w:val="22"/>
        </w:rPr>
        <w:t>§ 11</w:t>
      </w:r>
    </w:p>
    <w:p>
      <w:pPr>
        <w:pStyle w:val="Heading1"/>
        <w:spacing w:lineRule="auto" w:line="276"/>
        <w:rPr>
          <w:rFonts w:ascii="Calibri" w:hAnsi="Calibri"/>
        </w:rPr>
      </w:pPr>
      <w:r>
        <w:rPr>
          <w:rFonts w:cs="Calibri" w:ascii="Calibri" w:hAnsi="Calibri"/>
          <w:color w:val="auto"/>
          <w:sz w:val="22"/>
          <w:szCs w:val="22"/>
        </w:rPr>
        <w:t>Przetwarzanie danych osobowych</w:t>
      </w:r>
    </w:p>
    <w:p>
      <w:pPr>
        <w:pStyle w:val="Normal"/>
        <w:numPr>
          <w:ilvl w:val="0"/>
          <w:numId w:val="13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Zamawiający przetwarza dane osobowe w celu realizacji i rozliczenia niniejszej umowy na podstawie art. 6 ust. 1 lit. b ogólnego rozporządzenia o ochronie danych.</w:t>
      </w:r>
    </w:p>
    <w:p>
      <w:pPr>
        <w:pStyle w:val="Normal"/>
        <w:numPr>
          <w:ilvl w:val="0"/>
          <w:numId w:val="13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Podanie danych osobowych jest niezbędne w celu zawarcia, wykonania i rozliczenia Umowy.</w:t>
      </w:r>
    </w:p>
    <w:p>
      <w:pPr>
        <w:pStyle w:val="Normal"/>
        <w:numPr>
          <w:ilvl w:val="0"/>
          <w:numId w:val="13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Dane będą przechowywane przez czas realizacji Umowy oraz do końca okresu przedawnienia potencjalnych roszczeń, z uwzględnieniem przepisów dotyczących archiwizacji dokumentacji z uwzględnieniem przepisów ustawy.</w:t>
      </w:r>
    </w:p>
    <w:p>
      <w:pPr>
        <w:pStyle w:val="Normal"/>
        <w:numPr>
          <w:ilvl w:val="0"/>
          <w:numId w:val="13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Pracownikom lub współpracownikom Wykonawcy, których dane osobowe zostały lub zostaną przekazane Zamawiającemu w celu realizacji niniejszej umowy, przysługuje:</w:t>
      </w:r>
    </w:p>
    <w:p>
      <w:pPr>
        <w:pStyle w:val="Normal"/>
        <w:numPr>
          <w:ilvl w:val="1"/>
          <w:numId w:val="13"/>
        </w:numPr>
        <w:spacing w:lineRule="auto" w:line="276" w:before="0" w:after="0"/>
        <w:ind w:hanging="283" w:start="567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prawo do żądania od Zamawiającego dostępu do danych osobowych, ich sprostowania lub ograniczenia ich przetwarzania,</w:t>
      </w:r>
    </w:p>
    <w:p>
      <w:pPr>
        <w:pStyle w:val="Normal"/>
        <w:numPr>
          <w:ilvl w:val="1"/>
          <w:numId w:val="13"/>
        </w:numPr>
        <w:spacing w:lineRule="auto" w:line="276" w:before="0" w:after="0"/>
        <w:ind w:hanging="283" w:start="567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prawo do przenoszenia danych w zakresie w jakim są one przetwarzane w systemach informatycznych w celu zawarcia i wykonania umowy,</w:t>
      </w:r>
    </w:p>
    <w:p>
      <w:pPr>
        <w:pStyle w:val="Normal"/>
        <w:numPr>
          <w:ilvl w:val="1"/>
          <w:numId w:val="13"/>
        </w:numPr>
        <w:spacing w:lineRule="auto" w:line="276" w:before="0" w:after="0"/>
        <w:ind w:hanging="283" w:start="567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prawo wniesienia skargi do organu nadzorczego, tj. Prezesa Urzędu Ochrony Danych Osobowych, ul. Stawki 2, 00-193 Warszawa.</w:t>
      </w:r>
    </w:p>
    <w:p>
      <w:pPr>
        <w:pStyle w:val="Normal"/>
        <w:numPr>
          <w:ilvl w:val="0"/>
          <w:numId w:val="13"/>
        </w:numPr>
        <w:spacing w:lineRule="auto" w:line="276" w:before="0" w:after="0"/>
        <w:ind w:hanging="284" w:start="284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Dane osobowe zgromadzone na potrzeby realizacji niniejszej umowy będą udostępniane:</w:t>
      </w:r>
    </w:p>
    <w:p>
      <w:pPr>
        <w:pStyle w:val="Normal"/>
        <w:numPr>
          <w:ilvl w:val="1"/>
          <w:numId w:val="13"/>
        </w:numPr>
        <w:spacing w:lineRule="auto" w:line="276" w:before="0" w:after="0"/>
        <w:ind w:hanging="283" w:start="567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podmiotom współpracującym przy jej wykonaniu, w zakresie w jakim zapewni to sprawną realizację zlecanych zadań,</w:t>
      </w:r>
    </w:p>
    <w:p>
      <w:pPr>
        <w:pStyle w:val="Normal"/>
        <w:numPr>
          <w:ilvl w:val="1"/>
          <w:numId w:val="13"/>
        </w:numPr>
        <w:spacing w:lineRule="auto" w:line="276" w:before="0" w:after="0"/>
        <w:ind w:hanging="283" w:start="567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podmiotom, z którymi Zamawiający zawarł umowę powierzenia przetwarzania danych osobowych, w szczególności w celu zapewnienia bezpieczeństwa i sprawnego funkcjonowania systemów informatycznych,</w:t>
      </w:r>
    </w:p>
    <w:p>
      <w:pPr>
        <w:pStyle w:val="Normal"/>
        <w:numPr>
          <w:ilvl w:val="1"/>
          <w:numId w:val="13"/>
        </w:numPr>
        <w:spacing w:lineRule="auto" w:line="276" w:before="0" w:after="0"/>
        <w:ind w:hanging="283" w:start="567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podmiotom żądającym dostępu do informacji publicznej w granicach obowiązujących przepisów prawa,</w:t>
      </w:r>
    </w:p>
    <w:p>
      <w:pPr>
        <w:pStyle w:val="Normal"/>
        <w:numPr>
          <w:ilvl w:val="1"/>
          <w:numId w:val="13"/>
        </w:numPr>
        <w:spacing w:lineRule="auto" w:line="276" w:before="0" w:after="0"/>
        <w:ind w:hanging="283" w:start="567" w:end="16"/>
        <w:contextualSpacing w:val="false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podmiotom realizującym na rzecz Zamawiającego usługi pocztowe.</w:t>
      </w:r>
    </w:p>
    <w:p>
      <w:pPr>
        <w:pStyle w:val="Heading1"/>
        <w:spacing w:lineRule="auto" w:line="276"/>
        <w:rPr>
          <w:rFonts w:ascii="Calibri" w:hAnsi="Calibri"/>
        </w:rPr>
      </w:pPr>
      <w:r>
        <w:rPr>
          <w:rFonts w:cs="Calibri" w:ascii="Calibri" w:hAnsi="Calibri"/>
          <w:color w:val="auto"/>
          <w:sz w:val="22"/>
          <w:szCs w:val="22"/>
        </w:rPr>
        <w:t>§</w:t>
      </w:r>
      <w:bookmarkEnd w:id="3"/>
      <w:r>
        <w:rPr>
          <w:rFonts w:cs="Calibri" w:ascii="Calibri" w:hAnsi="Calibri"/>
          <w:color w:val="auto"/>
          <w:sz w:val="22"/>
          <w:szCs w:val="22"/>
        </w:rPr>
        <w:t xml:space="preserve"> 12</w:t>
      </w:r>
    </w:p>
    <w:p>
      <w:pPr>
        <w:pStyle w:val="Heading1"/>
        <w:spacing w:lineRule="auto" w:line="276"/>
        <w:rPr>
          <w:rFonts w:ascii="Calibri" w:hAnsi="Calibri"/>
        </w:rPr>
      </w:pPr>
      <w:r>
        <w:rPr>
          <w:rFonts w:cs="Calibri" w:ascii="Calibri" w:hAnsi="Calibri"/>
          <w:color w:val="auto"/>
          <w:sz w:val="22"/>
          <w:szCs w:val="22"/>
        </w:rPr>
        <w:t>Postanowienia końcowe</w:t>
      </w:r>
    </w:p>
    <w:p>
      <w:pPr>
        <w:pStyle w:val="ListParagraph"/>
        <w:numPr>
          <w:ilvl w:val="0"/>
          <w:numId w:val="6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>
      <w:pPr>
        <w:pStyle w:val="ListParagraph"/>
        <w:numPr>
          <w:ilvl w:val="0"/>
          <w:numId w:val="6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Umowa zawarta jest pod prawem polskim. Wszelkie spory będą poddane pod rozstrzygnięcie sądu powszechnego właściwego dla siedziby Zamawiającego.</w:t>
      </w:r>
    </w:p>
    <w:p>
      <w:pPr>
        <w:pStyle w:val="ListParagraph"/>
        <w:numPr>
          <w:ilvl w:val="0"/>
          <w:numId w:val="6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 xml:space="preserve">W sprawach nieuregulowanych niniejszą Umową stosuje się przepisy ustawy z dnia 11 września 2019 r. Prawo zamówień publicznych (Dz. U. 2024 poz. 1320) oraz przepisy ustawy z dnia 23 kwietnia 1964 r. Kodeks cywilny (Dz.U. 2025 poz. 1071) oraz inne mające związek z przedmiotową Umową. </w:t>
      </w:r>
    </w:p>
    <w:p>
      <w:pPr>
        <w:pStyle w:val="ListParagraph"/>
        <w:numPr>
          <w:ilvl w:val="0"/>
          <w:numId w:val="6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 xml:space="preserve">Wszelkie zmiany Umowy, jej uzupełnienie lub oświadczenia z nią związane wymagają formy pisemnej pod rygorem nieważności. </w:t>
      </w:r>
    </w:p>
    <w:p>
      <w:pPr>
        <w:pStyle w:val="ListParagraph"/>
        <w:numPr>
          <w:ilvl w:val="0"/>
          <w:numId w:val="6"/>
        </w:numPr>
        <w:spacing w:lineRule="auto" w:line="276"/>
        <w:ind w:hanging="284" w:start="284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Umowę sporządzono w trzech jednobrzmiących egzemplarzach, jeden dla Wykonawcy, a dwa dla Zamawiającego.</w:t>
      </w:r>
    </w:p>
    <w:p>
      <w:pPr>
        <w:pStyle w:val="ListParagraph"/>
        <w:numPr>
          <w:ilvl w:val="0"/>
          <w:numId w:val="6"/>
        </w:numPr>
        <w:spacing w:lineRule="auto" w:line="276"/>
        <w:ind w:hanging="284" w:start="284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Integralną część Umowy stanowią następujące Załączniki:</w:t>
      </w:r>
    </w:p>
    <w:p>
      <w:pPr>
        <w:pStyle w:val="ListParagraph"/>
        <w:numPr>
          <w:ilvl w:val="1"/>
          <w:numId w:val="6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 xml:space="preserve">Szczegółowy Opis Przedmiotu Zamówienia </w:t>
      </w:r>
    </w:p>
    <w:p>
      <w:pPr>
        <w:pStyle w:val="ListParagraph"/>
        <w:numPr>
          <w:ilvl w:val="1"/>
          <w:numId w:val="6"/>
        </w:numPr>
        <w:spacing w:lineRule="auto" w:line="276"/>
        <w:ind w:hanging="283" w:start="567"/>
        <w:jc w:val="both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Oferta Wykonawcy</w:t>
      </w:r>
    </w:p>
    <w:p>
      <w:pPr>
        <w:pStyle w:val="Normal"/>
        <w:spacing w:lineRule="auto" w:line="276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276" w:before="0" w:after="160"/>
        <w:ind w:start="426"/>
        <w:contextualSpacing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Zamawiający</w:t>
        <w:tab/>
        <w:tab/>
        <w:tab/>
        <w:tab/>
        <w:tab/>
        <w:tab/>
        <w:tab/>
        <w:tab/>
        <w:tab/>
        <w:t>Wykonawca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22605702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>
            <w:rFonts w:ascii="Calibri" w:hAnsi="Calibri" w:eastAsia="" w:cs="Calibri" w:eastAsiaTheme="majorEastAsia"/>
            <w:sz w:val="22"/>
            <w:szCs w:val="22"/>
          </w:rPr>
        </w:pPr>
        <w:r>
          <w:rPr>
            <w:rFonts w:eastAsia="" w:cs="Calibri" w:ascii="Calibri" w:hAnsi="Calibri" w:eastAsiaTheme="majorEastAsia"/>
            <w:sz w:val="22"/>
            <w:szCs w:val="22"/>
          </w:rPr>
          <w:t xml:space="preserve">str. </w:t>
        </w:r>
        <w:r>
          <w:rPr>
            <w:rFonts w:cs="Calibri" w:ascii="Calibri" w:hAnsi="Calibri"/>
            <w:sz w:val="22"/>
            <w:szCs w:val="22"/>
          </w:rPr>
          <w:fldChar w:fldCharType="begin"/>
        </w:r>
        <w:r>
          <w:rPr>
            <w:rFonts w:cs="Calibri" w:ascii="Calibri" w:hAnsi="Calibri"/>
            <w:sz w:val="22"/>
            <w:szCs w:val="22"/>
          </w:rPr>
          <w:instrText xml:space="preserve"> PAGE </w:instrText>
        </w:r>
        <w:r>
          <w:rPr>
            <w:rFonts w:cs="Calibri" w:ascii="Calibri" w:hAnsi="Calibri"/>
            <w:sz w:val="22"/>
            <w:szCs w:val="22"/>
          </w:rPr>
          <w:fldChar w:fldCharType="separate"/>
        </w:r>
        <w:r>
          <w:rPr>
            <w:rFonts w:cs="Calibri" w:ascii="Calibri" w:hAnsi="Calibri"/>
            <w:sz w:val="22"/>
            <w:szCs w:val="22"/>
          </w:rPr>
          <w:t>9</w:t>
        </w:r>
        <w:r>
          <w:rPr>
            <w:rFonts w:cs="Calibri" w:ascii="Calibri" w:hAnsi="Calibri"/>
            <w:sz w:val="22"/>
            <w:szCs w:val="22"/>
          </w:rPr>
          <w:fldChar w:fldCharType="end"/>
        </w:r>
      </w:p>
    </w:sdtContent>
  </w:sdt>
  <w:p>
    <w:pPr>
      <w:pStyle w:val="Footer"/>
      <w:rPr/>
    </w:pPr>
    <w:r>
      <w:rPr/>
      <w:drawing>
        <wp:anchor distT="0" distB="0" distL="114300" distR="114300" simplePos="0" relativeHeight="11" behindDoc="1" locked="0" layoutInCell="0" allowOverlap="1">
          <wp:simplePos x="0" y="0"/>
          <wp:positionH relativeFrom="margin">
            <wp:posOffset>1431925</wp:posOffset>
          </wp:positionH>
          <wp:positionV relativeFrom="paragraph">
            <wp:posOffset>-120015</wp:posOffset>
          </wp:positionV>
          <wp:extent cx="2849880" cy="511175"/>
          <wp:effectExtent l="0" t="0" r="0" b="0"/>
          <wp:wrapSquare wrapText="bothSides"/>
          <wp:docPr id="3" name="Obraz3 kopia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3 kopia 1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4988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45117460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>
            <w:rFonts w:ascii="Aptos Display" w:hAnsi="Aptos Display" w:eastAsia="" w:cs="" w:asciiTheme="majorHAnsi" w:cstheme="majorBidi" w:eastAsiaTheme="majorEastAsia" w:hAnsiTheme="majorHAnsi"/>
            <w:sz w:val="22"/>
            <w:szCs w:val="22"/>
          </w:rPr>
        </w:pPr>
        <w:r>
          <w:rPr>
            <w:rFonts w:eastAsia="" w:cs="" w:ascii="Aptos Display" w:hAnsi="Aptos Display" w:asciiTheme="majorHAnsi" w:cstheme="majorBidi" w:eastAsiaTheme="majorEastAsia" w:hAnsiTheme="majorHAnsi"/>
            <w:sz w:val="22"/>
            <w:szCs w:val="22"/>
          </w:rPr>
          <w:t xml:space="preserve">str. </w:t>
        </w:r>
        <w:r>
          <w:rPr>
            <w:rFonts w:cs="Times New Roman"/>
            <w:sz w:val="22"/>
            <w:szCs w:val="22"/>
          </w:rPr>
          <w:fldChar w:fldCharType="begin"/>
        </w:r>
        <w:r>
          <w:rPr>
            <w:rFonts w:cs="Times New Roman"/>
            <w:sz w:val="22"/>
            <w:szCs w:val="22"/>
          </w:rPr>
          <w:instrText xml:space="preserve"> PAGE </w:instrText>
        </w:r>
        <w:r>
          <w:rPr>
            <w:rFonts w:cs="Times New Roman"/>
            <w:sz w:val="22"/>
            <w:szCs w:val="22"/>
          </w:rPr>
          <w:fldChar w:fldCharType="separate"/>
        </w:r>
        <w:r>
          <w:rPr>
            <w:rFonts w:cs="Times New Roman"/>
            <w:sz w:val="22"/>
            <w:szCs w:val="22"/>
          </w:rPr>
          <w:t>1</w:t>
        </w:r>
        <w:r>
          <w:rPr>
            <w:rFonts w:cs="Times New Roman"/>
            <w:sz w:val="22"/>
            <w:szCs w:val="22"/>
          </w:rPr>
          <w:fldChar w:fldCharType="end"/>
        </w:r>
      </w:p>
    </w:sdtContent>
  </w:sdt>
  <w:p>
    <w:pPr>
      <w:pStyle w:val="Foot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2851150" cy="511175"/>
          <wp:effectExtent l="0" t="0" r="0" b="0"/>
          <wp:wrapNone/>
          <wp:docPr id="4" name="Obraz3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3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5115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left" w:pos="5370" w:leader="none"/>
      </w:tabs>
      <w:rPr/>
    </w:pPr>
    <w:r>
      <w:drawing>
        <wp:anchor distT="0" distB="0" distL="0" distR="0" simplePos="0" relativeHeight="12" behindDoc="1" locked="0" layoutInCell="0" allowOverlap="1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6537325" cy="676910"/>
          <wp:effectExtent l="0" t="0" r="0" b="0"/>
          <wp:wrapNone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3732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6537325" cy="676910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3732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rFonts w:cs="Times New Roman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rFonts w:cs="Times New Roman"/>
      </w:rPr>
    </w:lvl>
    <w:lvl w:ilvl="2">
      <w:start w:val="1"/>
      <w:numFmt w:val="lowerLetter"/>
      <w:lvlText w:val="%3."/>
      <w:lvlJc w:val="end"/>
      <w:pPr>
        <w:tabs>
          <w:tab w:val="num" w:pos="0"/>
        </w:tabs>
        <w:ind w:start="1800" w:hanging="180"/>
      </w:pPr>
      <w:rPr>
        <w:rFonts w:cs="Times New Roman"/>
      </w:rPr>
    </w:lvl>
    <w:lvl w:ilvl="3">
      <w:start w:val="1"/>
      <w:numFmt w:val="lowerRoman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bullet"/>
      <w:lvlText w:val=""/>
      <w:lvlJc w:val="start"/>
      <w:pPr>
        <w:tabs>
          <w:tab w:val="num" w:pos="0"/>
        </w:tabs>
        <w:ind w:star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start"/>
      <w:pPr>
        <w:tabs>
          <w:tab w:val="num" w:pos="0"/>
        </w:tabs>
        <w:ind w:star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start"/>
      <w:pPr>
        <w:tabs>
          <w:tab w:val="num" w:pos="0"/>
        </w:tabs>
        <w:ind w:star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start"/>
      <w:pPr>
        <w:tabs>
          <w:tab w:val="num" w:pos="0"/>
        </w:tabs>
        <w:ind w:start="6120" w:hanging="180"/>
      </w:pPr>
      <w:rPr>
        <w:rFonts w:ascii="Symbol" w:hAnsi="Symbol" w:cs="Symbol" w:hint="default"/>
        <w:color w:val="auto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rFonts w:cs="Times New Roman"/>
      </w:rPr>
    </w:lvl>
    <w:lvl w:ilvl="2">
      <w:start w:val="1"/>
      <w:numFmt w:val="lowerLetter"/>
      <w:lvlText w:val="%3."/>
      <w:lvlJc w:val="end"/>
      <w:pPr>
        <w:tabs>
          <w:tab w:val="num" w:pos="0"/>
        </w:tabs>
        <w:ind w:start="1800" w:hanging="180"/>
      </w:pPr>
      <w:rPr>
        <w:rFonts w:cs="Times New Roman"/>
      </w:rPr>
    </w:lvl>
    <w:lvl w:ilvl="3">
      <w:start w:val="1"/>
      <w:numFmt w:val="lowerRoman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bullet"/>
      <w:lvlText w:val=""/>
      <w:lvlJc w:val="start"/>
      <w:pPr>
        <w:tabs>
          <w:tab w:val="num" w:pos="0"/>
        </w:tabs>
        <w:ind w:star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start"/>
      <w:pPr>
        <w:tabs>
          <w:tab w:val="num" w:pos="0"/>
        </w:tabs>
        <w:ind w:star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start"/>
      <w:pPr>
        <w:tabs>
          <w:tab w:val="num" w:pos="0"/>
        </w:tabs>
        <w:ind w:star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start"/>
      <w:pPr>
        <w:tabs>
          <w:tab w:val="num" w:pos="0"/>
        </w:tabs>
        <w:ind w:start="6120" w:hanging="180"/>
      </w:pPr>
      <w:rPr>
        <w:rFonts w:ascii="Symbol" w:hAnsi="Symbol" w:cs="Symbol" w:hint="default"/>
        <w:color w:val="auto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rFonts w:cs="Times New Roman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rFonts w:cs="Times New Roman"/>
      </w:rPr>
    </w:lvl>
    <w:lvl w:ilvl="2">
      <w:start w:val="1"/>
      <w:numFmt w:val="lowerLetter"/>
      <w:lvlText w:val="%3."/>
      <w:lvlJc w:val="end"/>
      <w:pPr>
        <w:tabs>
          <w:tab w:val="num" w:pos="0"/>
        </w:tabs>
        <w:ind w:start="1800" w:hanging="180"/>
      </w:pPr>
      <w:rPr>
        <w:rFonts w:cs="Times New Roman"/>
      </w:rPr>
    </w:lvl>
    <w:lvl w:ilvl="3">
      <w:start w:val="1"/>
      <w:numFmt w:val="lowerRoman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bullet"/>
      <w:lvlText w:val=""/>
      <w:lvlJc w:val="start"/>
      <w:pPr>
        <w:tabs>
          <w:tab w:val="num" w:pos="0"/>
        </w:tabs>
        <w:ind w:star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start"/>
      <w:pPr>
        <w:tabs>
          <w:tab w:val="num" w:pos="0"/>
        </w:tabs>
        <w:ind w:star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start"/>
      <w:pPr>
        <w:tabs>
          <w:tab w:val="num" w:pos="0"/>
        </w:tabs>
        <w:ind w:star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start"/>
      <w:pPr>
        <w:tabs>
          <w:tab w:val="num" w:pos="0"/>
        </w:tabs>
        <w:ind w:start="6120" w:hanging="180"/>
      </w:pPr>
      <w:rPr>
        <w:rFonts w:ascii="Symbol" w:hAnsi="Symbol" w:cs="Symbol" w:hint="default"/>
        <w:color w:val="auto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rFonts w:cs="Times New Roman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rFonts w:cs="Times New Roman"/>
      </w:rPr>
    </w:lvl>
    <w:lvl w:ilvl="2">
      <w:start w:val="1"/>
      <w:numFmt w:val="lowerLetter"/>
      <w:lvlText w:val="%3."/>
      <w:lvlJc w:val="end"/>
      <w:pPr>
        <w:tabs>
          <w:tab w:val="num" w:pos="0"/>
        </w:tabs>
        <w:ind w:start="1800" w:hanging="180"/>
      </w:pPr>
      <w:rPr>
        <w:rFonts w:cs="Times New Roman"/>
      </w:rPr>
    </w:lvl>
    <w:lvl w:ilvl="3">
      <w:start w:val="1"/>
      <w:numFmt w:val="lowerRoman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bullet"/>
      <w:lvlText w:val=""/>
      <w:lvlJc w:val="start"/>
      <w:pPr>
        <w:tabs>
          <w:tab w:val="num" w:pos="0"/>
        </w:tabs>
        <w:ind w:star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start"/>
      <w:pPr>
        <w:tabs>
          <w:tab w:val="num" w:pos="0"/>
        </w:tabs>
        <w:ind w:star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start"/>
      <w:pPr>
        <w:tabs>
          <w:tab w:val="num" w:pos="0"/>
        </w:tabs>
        <w:ind w:star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start"/>
      <w:pPr>
        <w:tabs>
          <w:tab w:val="num" w:pos="0"/>
        </w:tabs>
        <w:ind w:start="6120" w:hanging="180"/>
      </w:pPr>
      <w:rPr>
        <w:rFonts w:ascii="Symbol" w:hAnsi="Symbol" w:cs="Symbol" w:hint="default"/>
        <w:color w:val="auto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rFonts w:cs="Times New Roman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rFonts w:cs="Times New Roman"/>
      </w:rPr>
    </w:lvl>
    <w:lvl w:ilvl="2">
      <w:start w:val="1"/>
      <w:numFmt w:val="lowerLetter"/>
      <w:lvlText w:val="%3."/>
      <w:lvlJc w:val="end"/>
      <w:pPr>
        <w:tabs>
          <w:tab w:val="num" w:pos="0"/>
        </w:tabs>
        <w:ind w:start="1800" w:hanging="180"/>
      </w:pPr>
      <w:rPr>
        <w:rFonts w:cs="Times New Roman"/>
      </w:rPr>
    </w:lvl>
    <w:lvl w:ilvl="3">
      <w:start w:val="1"/>
      <w:numFmt w:val="lowerRoman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bullet"/>
      <w:lvlText w:val=""/>
      <w:lvlJc w:val="start"/>
      <w:pPr>
        <w:tabs>
          <w:tab w:val="num" w:pos="0"/>
        </w:tabs>
        <w:ind w:star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start"/>
      <w:pPr>
        <w:tabs>
          <w:tab w:val="num" w:pos="0"/>
        </w:tabs>
        <w:ind w:star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start"/>
      <w:pPr>
        <w:tabs>
          <w:tab w:val="num" w:pos="0"/>
        </w:tabs>
        <w:ind w:star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start"/>
      <w:pPr>
        <w:tabs>
          <w:tab w:val="num" w:pos="0"/>
        </w:tabs>
        <w:ind w:start="6120" w:hanging="180"/>
      </w:pPr>
      <w:rPr>
        <w:rFonts w:ascii="Symbol" w:hAnsi="Symbol" w:cs="Symbol" w:hint="default"/>
        <w:color w:val="auto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rFonts w:cs="Times New Roman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rFonts w:cs="Times New Roman"/>
      </w:rPr>
    </w:lvl>
    <w:lvl w:ilvl="2">
      <w:start w:val="1"/>
      <w:numFmt w:val="lowerLetter"/>
      <w:lvlText w:val="%3."/>
      <w:lvlJc w:val="end"/>
      <w:pPr>
        <w:tabs>
          <w:tab w:val="num" w:pos="0"/>
        </w:tabs>
        <w:ind w:start="1800" w:hanging="180"/>
      </w:pPr>
      <w:rPr>
        <w:rFonts w:cs="Times New Roman"/>
      </w:rPr>
    </w:lvl>
    <w:lvl w:ilvl="3">
      <w:start w:val="1"/>
      <w:numFmt w:val="lowerRoman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bullet"/>
      <w:lvlText w:val=""/>
      <w:lvlJc w:val="start"/>
      <w:pPr>
        <w:tabs>
          <w:tab w:val="num" w:pos="0"/>
        </w:tabs>
        <w:ind w:star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start"/>
      <w:pPr>
        <w:tabs>
          <w:tab w:val="num" w:pos="0"/>
        </w:tabs>
        <w:ind w:star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start"/>
      <w:pPr>
        <w:tabs>
          <w:tab w:val="num" w:pos="0"/>
        </w:tabs>
        <w:ind w:star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start"/>
      <w:pPr>
        <w:tabs>
          <w:tab w:val="num" w:pos="0"/>
        </w:tabs>
        <w:ind w:start="6120" w:hanging="180"/>
      </w:pPr>
      <w:rPr>
        <w:rFonts w:ascii="Symbol" w:hAnsi="Symbol" w:cs="Symbol" w:hint="default"/>
        <w:color w:val="auto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283" w:hanging="0"/>
      </w:pPr>
      <w:rPr>
        <w:rFonts w:ascii="Times New Roman" w:hAnsi="Times New Roman" w:eastAsia="Arial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08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80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52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24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96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68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40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12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283" w:hanging="0"/>
      </w:pPr>
      <w:rPr>
        <w:rFonts w:ascii="Times New Roman" w:hAnsi="Times New Roman" w:eastAsia="Arial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72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44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16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288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60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32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04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5760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</w:abstractNum>
  <w:abstractNum w:abstractNumId="10">
    <w:lvl w:ilvl="0">
      <w:start w:val="1"/>
      <w:numFmt w:val="decimal"/>
      <w:lvlText w:val="%1)"/>
      <w:lvlJc w:val="start"/>
      <w:pPr>
        <w:tabs>
          <w:tab w:val="num" w:pos="0"/>
        </w:tabs>
        <w:ind w:start="1004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24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444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164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884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04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24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044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764" w:hanging="180"/>
      </w:pPr>
      <w:rPr/>
    </w:lvl>
  </w:abstractNum>
  <w:abstractNum w:abstractNumId="11">
    <w:lvl w:ilvl="0">
      <w:start w:val="1"/>
      <w:numFmt w:val="decimal"/>
      <w:lvlText w:val="%1)"/>
      <w:lvlJc w:val="start"/>
      <w:pPr>
        <w:tabs>
          <w:tab w:val="num" w:pos="0"/>
        </w:tabs>
        <w:ind w:start="799" w:hanging="360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519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239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959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79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99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119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839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559" w:hanging="180"/>
      </w:pPr>
      <w:rPr/>
    </w:lvl>
  </w:abstractNum>
  <w:abstractNum w:abstractNumId="12">
    <w:lvl w:ilvl="0">
      <w:start w:val="1"/>
      <w:numFmt w:val="bullet"/>
      <w:lvlText w:val="§"/>
      <w:lvlJc w:val="start"/>
      <w:pPr>
        <w:tabs>
          <w:tab w:val="num" w:pos="0"/>
        </w:tabs>
        <w:ind w:star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lowerLetter"/>
      <w:lvlText w:val="%2)"/>
      <w:lvlJc w:val="start"/>
      <w:pPr>
        <w:tabs>
          <w:tab w:val="num" w:pos="0"/>
        </w:tabs>
        <w:ind w:start="720" w:hanging="360"/>
      </w:pPr>
      <w:rPr/>
    </w:lvl>
    <w:lvl w:ilvl="2">
      <w:start w:val="1"/>
      <w:numFmt w:val="lowerRoman"/>
      <w:lvlText w:val="%3)"/>
      <w:lvlJc w:val="start"/>
      <w:pPr>
        <w:tabs>
          <w:tab w:val="num" w:pos="0"/>
        </w:tabs>
        <w:ind w:start="1080" w:hanging="360"/>
      </w:pPr>
      <w:rPr/>
    </w:lvl>
    <w:lvl w:ilvl="3">
      <w:start w:val="1"/>
      <w:numFmt w:val="decimal"/>
      <w:lvlText w:val="(%4)"/>
      <w:lvlJc w:val="start"/>
      <w:pPr>
        <w:tabs>
          <w:tab w:val="num" w:pos="0"/>
        </w:tabs>
        <w:ind w:start="1440" w:hanging="360"/>
      </w:pPr>
      <w:rPr/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/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/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/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0"/>
        </w:tabs>
        <w:ind w:start="4820" w:hanging="0"/>
      </w:pPr>
      <w:rPr>
        <w:rFonts w:ascii="Times New Roman" w:hAnsi="Times New Roman" w:eastAsia="Arial" w:cs="Times New Roman"/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5617" w:hanging="0"/>
      </w:pPr>
      <w:rPr>
        <w:b w:val="false"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6337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7057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7777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8497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9217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9937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10657" w:hanging="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position w:val="0"/>
        <w:sz w:val="20"/>
        <w:szCs w:val="20"/>
        <w:u w:val="none" w:color="000000"/>
        <w:shd w:fill="auto" w:val="clear"/>
        <w:vertAlign w:val="baseline"/>
      </w:rPr>
    </w:lvl>
  </w:abstractNum>
  <w:abstractNum w:abstractNumId="1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15">
    <w:lvl w:ilvl="0">
      <w:start w:val="1"/>
      <w:numFmt w:val="decimal"/>
      <w:lvlText w:val="%1)"/>
      <w:lvlJc w:val="start"/>
      <w:pPr>
        <w:tabs>
          <w:tab w:val="num" w:pos="0"/>
        </w:tabs>
        <w:ind w:start="19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6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33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40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8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5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62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9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680" w:hanging="180"/>
      </w:pPr>
      <w:rPr/>
    </w:lvl>
  </w:abstractNum>
  <w:abstractNum w:abstractNumId="1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75570"/>
    <w:pPr>
      <w:widowControl/>
      <w:suppressAutoHyphens w:val="true"/>
      <w:bidi w:val="0"/>
      <w:spacing w:lineRule="auto" w:line="278" w:before="0" w:after="160"/>
      <w:contextualSpacing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975570"/>
    <w:pPr>
      <w:keepNext w:val="true"/>
      <w:keepLines/>
      <w:spacing w:before="320" w:after="160"/>
      <w:contextualSpacing/>
      <w:jc w:val="center"/>
      <w:outlineLvl w:val="0"/>
    </w:pPr>
    <w:rPr>
      <w:rFonts w:eastAsia="" w:cs="" w:cstheme="majorBidi" w:eastAsiaTheme="majorEastAsia"/>
      <w:b/>
      <w:bCs/>
      <w:color w:themeColor="accent1" w:themeShade="bf" w:val="0F4761"/>
      <w:sz w:val="28"/>
      <w:szCs w:val="40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403eb2"/>
    <w:pPr>
      <w:keepNext w:val="true"/>
      <w:keepLines/>
      <w:spacing w:before="240" w:after="160"/>
      <w:contextualSpacing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26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9a1fc6"/>
    <w:pPr>
      <w:keepNext w:val="true"/>
      <w:keepLines/>
      <w:spacing w:before="160" w:after="80"/>
      <w:contextualSpacing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9a1fc6"/>
    <w:pPr>
      <w:keepNext w:val="true"/>
      <w:keepLines/>
      <w:spacing w:before="80" w:after="40"/>
      <w:contextualSpacing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9a1fc6"/>
    <w:pPr>
      <w:keepNext w:val="true"/>
      <w:keepLines/>
      <w:spacing w:before="80" w:after="40"/>
      <w:contextualSpacing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9a1fc6"/>
    <w:pPr>
      <w:keepNext w:val="true"/>
      <w:keepLines/>
      <w:spacing w:before="40" w:after="0"/>
      <w:contextualSpacing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9a1fc6"/>
    <w:pPr>
      <w:keepNext w:val="true"/>
      <w:keepLines/>
      <w:spacing w:before="40" w:after="0"/>
      <w:contextualSpacing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9a1fc6"/>
    <w:pPr>
      <w:keepNext w:val="true"/>
      <w:keepLines/>
      <w:spacing w:before="0" w:after="0"/>
      <w:contextualSpacing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9a1fc6"/>
    <w:pPr>
      <w:keepNext w:val="true"/>
      <w:keepLines/>
      <w:spacing w:before="0" w:after="0"/>
      <w:contextualSpacing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975570"/>
    <w:rPr>
      <w:rFonts w:eastAsia="" w:cs="" w:cstheme="majorBidi" w:eastAsiaTheme="majorEastAsia"/>
      <w:b/>
      <w:bCs/>
      <w:color w:themeColor="accent1" w:themeShade="bf" w:val="0F4761"/>
      <w:sz w:val="28"/>
      <w:szCs w:val="40"/>
    </w:rPr>
  </w:style>
  <w:style w:type="character" w:styleId="Nagwek2Znak" w:customStyle="1">
    <w:name w:val="Nagłówek 2 Znak"/>
    <w:basedOn w:val="DefaultParagraphFont"/>
    <w:uiPriority w:val="9"/>
    <w:qFormat/>
    <w:rsid w:val="00403eb2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26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9a1fc6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9a1fc6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9a1fc6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9a1fc6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9a1fc6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9a1fc6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9a1fc6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975570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32"/>
      <w:szCs w:val="32"/>
    </w:rPr>
  </w:style>
  <w:style w:type="character" w:styleId="PodtytuZnak" w:customStyle="1">
    <w:name w:val="Podtytuł Znak"/>
    <w:basedOn w:val="DefaultParagraphFont"/>
    <w:uiPriority w:val="11"/>
    <w:qFormat/>
    <w:rsid w:val="009a1fc6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9a1fc6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a1fc6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9a1fc6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9a1fc6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9a1fc6"/>
    <w:rPr/>
  </w:style>
  <w:style w:type="character" w:styleId="StopkaZnak" w:customStyle="1">
    <w:name w:val="Stopka Znak"/>
    <w:basedOn w:val="DefaultParagraphFont"/>
    <w:uiPriority w:val="99"/>
    <w:qFormat/>
    <w:rsid w:val="009a1fc6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065ff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065ff1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065ff1"/>
    <w:rPr>
      <w:b/>
      <w:bCs/>
      <w:sz w:val="20"/>
      <w:szCs w:val="20"/>
    </w:rPr>
  </w:style>
  <w:style w:type="character" w:styleId="AkapitzlistZnak" w:customStyle="1">
    <w:name w:val="Akapit z listą Znak"/>
    <w:link w:val="ListParagraph"/>
    <w:uiPriority w:val="34"/>
    <w:qFormat/>
    <w:rsid w:val="00533dc4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  <w:contextualSpacing w:val="false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  <w:contextualSpacing w:val="false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  <w:contextualSpacing w:val="false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9a1fc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contextualSpacing/>
    </w:pPr>
    <w:rPr/>
  </w:style>
  <w:style w:type="paragraph" w:styleId="Title">
    <w:name w:val="Title"/>
    <w:basedOn w:val="Normal"/>
    <w:next w:val="Normal"/>
    <w:link w:val="TytuZnak"/>
    <w:uiPriority w:val="10"/>
    <w:qFormat/>
    <w:rsid w:val="00975570"/>
    <w:pPr>
      <w:spacing w:lineRule="auto" w:line="240" w:before="0" w:after="80"/>
      <w:contextualSpacing/>
      <w:jc w:val="center"/>
    </w:pPr>
    <w:rPr>
      <w:rFonts w:ascii="Aptos Display" w:hAnsi="Aptos Display" w:eastAsia="" w:cs="" w:asciiTheme="majorHAnsi" w:cstheme="majorBidi" w:eastAsiaTheme="majorEastAsia" w:hAnsiTheme="majorHAnsi"/>
      <w:spacing w:val="-10"/>
      <w:sz w:val="32"/>
      <w:szCs w:val="32"/>
    </w:rPr>
  </w:style>
  <w:style w:type="paragraph" w:styleId="Subtitle">
    <w:name w:val="Subtitle"/>
    <w:basedOn w:val="Normal"/>
    <w:next w:val="Normal"/>
    <w:link w:val="PodtytuZnak"/>
    <w:uiPriority w:val="11"/>
    <w:qFormat/>
    <w:rsid w:val="009a1fc6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9a1fc6"/>
    <w:pPr>
      <w:spacing w:before="160" w:after="160"/>
      <w:contextualSpacing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AkapitzlistZnak"/>
    <w:uiPriority w:val="34"/>
    <w:qFormat/>
    <w:rsid w:val="009a1fc6"/>
    <w:pPr>
      <w:ind w:start="720"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9a1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contextualSpacing/>
      <w:jc w:val="center"/>
    </w:pPr>
    <w:rPr>
      <w:i/>
      <w:iCs/>
      <w:color w:themeColor="accent1" w:themeShade="bf" w:val="0F4761"/>
    </w:rPr>
  </w:style>
  <w:style w:type="paragraph" w:styleId="Footer">
    <w:name w:val="footer"/>
    <w:basedOn w:val="Normal"/>
    <w:link w:val="StopkaZnak"/>
    <w:uiPriority w:val="99"/>
    <w:unhideWhenUsed/>
    <w:rsid w:val="009a1fc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rsid w:val="00065ff1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065ff1"/>
    <w:pPr/>
    <w:rPr>
      <w:b/>
      <w:bCs/>
    </w:rPr>
  </w:style>
  <w:style w:type="paragraph" w:styleId="ListNumber">
    <w:name w:val="List Number"/>
    <w:basedOn w:val="Normal"/>
    <w:unhideWhenUsed/>
    <w:rsid w:val="00852bf2"/>
    <w:pPr>
      <w:numPr>
        <w:ilvl w:val="0"/>
        <w:numId w:val="12"/>
      </w:numPr>
      <w:spacing w:lineRule="auto" w:line="240" w:before="0" w:after="0"/>
      <w:contextualSpacing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8794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Application>LibreOffice/26.2.2.2$Windows_X86_64 LibreOffice_project/1f77d10d6938fd34972958f64b2bcfa54f8b1ba5</Application>
  <AppVersion>15.0000</AppVersion>
  <Pages>9</Pages>
  <Words>3058</Words>
  <Characters>19388</Characters>
  <CharactersWithSpaces>22216</CharactersWithSpaces>
  <Paragraphs>157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2026-02-10T17:02:00Z</dcterms:created>
  <dc:creator>Renata Kochanska</dc:creator>
  <dc:description/>
  <dc:language>pl-PL</dc:language>
  <cp:lastModifiedBy/>
  <cp:lastPrinted>2025-08-26T10:48:00Z</cp:lastPrinted>
  <dcterms:modified xsi:type="dcterms:W3CDTF">2026-04-28T08:47:05Z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